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B6" w:rsidRPr="00F80739" w:rsidRDefault="001D52E2" w:rsidP="009A16B6">
      <w:pPr>
        <w:spacing w:before="480" w:after="75"/>
        <w:ind w:right="6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-931545</wp:posOffset>
            </wp:positionV>
            <wp:extent cx="1972945" cy="676910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7F2">
        <w:rPr>
          <w:rFonts w:ascii="Verdana" w:hAnsi="Verdana"/>
          <w:b/>
          <w:bCs/>
          <w:sz w:val="18"/>
          <w:szCs w:val="18"/>
        </w:rPr>
        <w:t>1</w:t>
      </w:r>
      <w:r w:rsidR="00A82FB8">
        <w:rPr>
          <w:rFonts w:ascii="Verdana" w:hAnsi="Verdana"/>
          <w:b/>
          <w:bCs/>
          <w:sz w:val="18"/>
          <w:szCs w:val="18"/>
        </w:rPr>
        <w:t xml:space="preserve"> </w:t>
      </w:r>
      <w:r w:rsidR="009A47F2">
        <w:rPr>
          <w:rFonts w:ascii="Verdana" w:hAnsi="Verdana"/>
          <w:b/>
          <w:bCs/>
          <w:sz w:val="18"/>
          <w:szCs w:val="18"/>
        </w:rPr>
        <w:t xml:space="preserve">июня </w:t>
      </w:r>
      <w:r w:rsidR="00A82FB8">
        <w:rPr>
          <w:rFonts w:ascii="Verdana" w:hAnsi="Verdana"/>
          <w:b/>
          <w:bCs/>
          <w:sz w:val="18"/>
          <w:szCs w:val="18"/>
        </w:rPr>
        <w:t>2015</w:t>
      </w:r>
      <w:r w:rsidR="009A16B6" w:rsidRPr="006B438B">
        <w:rPr>
          <w:rFonts w:ascii="Verdana" w:hAnsi="Verdana"/>
          <w:b/>
          <w:bCs/>
          <w:sz w:val="18"/>
          <w:szCs w:val="18"/>
        </w:rPr>
        <w:t xml:space="preserve">, г. </w:t>
      </w:r>
      <w:r w:rsidR="009A16B6">
        <w:rPr>
          <w:rFonts w:ascii="Verdana" w:hAnsi="Verdana"/>
          <w:b/>
          <w:bCs/>
          <w:sz w:val="18"/>
          <w:szCs w:val="18"/>
        </w:rPr>
        <w:t>Москва</w:t>
      </w:r>
    </w:p>
    <w:p w:rsidR="00FA1A2B" w:rsidRPr="00FA1A2B" w:rsidRDefault="00FA1A2B" w:rsidP="00FA1A2B">
      <w:pPr>
        <w:pStyle w:val="ae"/>
      </w:pPr>
      <w:r>
        <w:t>Компания «ИНТЭЛЛЕКС» отметила 14-й год работы на российском рынке созданием серии новых технологий и систем.</w:t>
      </w:r>
    </w:p>
    <w:p w:rsidR="00FA1A2B" w:rsidRPr="00E83FCD" w:rsidRDefault="00FA1A2B" w:rsidP="00FA1A2B">
      <w:pPr>
        <w:pStyle w:val="af0"/>
        <w:rPr>
          <w:rFonts w:ascii="Candara" w:hAnsi="Candara"/>
          <w:color w:val="333333"/>
          <w:sz w:val="18"/>
          <w:szCs w:val="18"/>
        </w:rPr>
      </w:pPr>
      <w:r w:rsidRPr="00E83FCD">
        <w:t>Прошедший год дал жизнь технологии распознавания русской речи «Лингурус»,</w:t>
      </w:r>
      <w:r>
        <w:t xml:space="preserve"> технологии ITM-ComPass, системе</w:t>
      </w:r>
      <w:r w:rsidRPr="00E83FCD">
        <w:t xml:space="preserve"> «Комплексное транспортно-логистическое обслуживание» (АС КТЛО). Флагманский проект к</w:t>
      </w:r>
      <w:r>
        <w:t>омпании, система ЭТРАН, традиционно обзавелся</w:t>
      </w:r>
      <w:r w:rsidRPr="00E83FCD">
        <w:t xml:space="preserve"> новыми функциями, а система управления транспортным обслуживанием </w:t>
      </w:r>
      <w:r w:rsidR="009A47F2">
        <w:t>(</w:t>
      </w:r>
      <w:r w:rsidRPr="00E83FCD">
        <w:t>АСУ ТО</w:t>
      </w:r>
      <w:r w:rsidR="009A47F2">
        <w:t>)</w:t>
      </w:r>
      <w:r w:rsidRPr="00E83FCD">
        <w:t xml:space="preserve"> </w:t>
      </w:r>
      <w:r w:rsidR="009A47F2">
        <w:t>отправилась</w:t>
      </w:r>
      <w:r w:rsidR="009A47F2" w:rsidRPr="00E83FCD">
        <w:t xml:space="preserve"> </w:t>
      </w:r>
      <w:r w:rsidRPr="00E83FCD">
        <w:t>в промышленную эксплуатацию.</w:t>
      </w:r>
    </w:p>
    <w:p w:rsidR="00FA1A2B" w:rsidRPr="00B3772C" w:rsidRDefault="00FA1A2B" w:rsidP="009D0EE0">
      <w:pPr>
        <w:jc w:val="both"/>
        <w:rPr>
          <w:rFonts w:ascii="Verdana" w:hAnsi="Verdana"/>
          <w:b/>
          <w:i/>
          <w:iCs/>
          <w:sz w:val="20"/>
          <w:szCs w:val="20"/>
        </w:rPr>
      </w:pPr>
    </w:p>
    <w:p w:rsidR="00FA1A2B" w:rsidRPr="009A47F2" w:rsidRDefault="00FA1A2B" w:rsidP="009A47F2">
      <w:pPr>
        <w:pStyle w:val="af2"/>
      </w:pPr>
      <w:r w:rsidRPr="009A47F2">
        <w:t>13 сентября 2014 года стало дебютом технологии распознавания русской речи: «Лингурус» был представлен на конференции «AINL 2014: Искусственный интеллект и естественный язык» в Сколково. Работающий на «Лингурусе» робот-диджей развлекал посетителей песнями из фонотеки, которые он подбирал по устному запросу. Чуть раньше</w:t>
      </w:r>
      <w:r w:rsidRPr="009A47F2">
        <w:rPr>
          <w:rStyle w:val="a7"/>
          <w:b w:val="0"/>
          <w:bCs w:val="0"/>
          <w:szCs w:val="18"/>
        </w:rPr>
        <w:t> </w:t>
      </w:r>
      <w:r w:rsidRPr="009A47F2">
        <w:t>начал</w:t>
      </w:r>
      <w:r w:rsidRPr="009A47F2">
        <w:rPr>
          <w:rStyle w:val="a7"/>
          <w:b w:val="0"/>
          <w:bCs w:val="0"/>
          <w:szCs w:val="18"/>
        </w:rPr>
        <w:t> </w:t>
      </w:r>
      <w:r w:rsidRPr="009A47F2">
        <w:t>свою работу</w:t>
      </w:r>
      <w:r w:rsidRPr="009A47F2">
        <w:rPr>
          <w:rStyle w:val="a7"/>
          <w:b w:val="0"/>
          <w:bCs w:val="0"/>
          <w:szCs w:val="18"/>
        </w:rPr>
        <w:t> </w:t>
      </w:r>
      <w:hyperlink r:id="rId9" w:history="1">
        <w:r w:rsidRPr="009A47F2">
          <w:rPr>
            <w:rStyle w:val="a5"/>
            <w:color w:val="auto"/>
            <w:u w:val="none"/>
          </w:rPr>
          <w:t>сайт-визитка проекта</w:t>
        </w:r>
      </w:hyperlink>
      <w:r w:rsidRPr="009A47F2">
        <w:t xml:space="preserve"> — lingurus.ru. Сейчас технология активно развивается.</w:t>
      </w:r>
      <w:r w:rsidRPr="009A47F2">
        <w:rPr>
          <w:rStyle w:val="a7"/>
          <w:b w:val="0"/>
          <w:bCs w:val="0"/>
          <w:szCs w:val="18"/>
        </w:rPr>
        <w:t> Отдел перспективных разработок </w:t>
      </w:r>
      <w:r w:rsidRPr="009A47F2">
        <w:t xml:space="preserve">под руководством Дмитрия Козина добился точности распознавания в 95% на словаре 30 000 лексических единиц. На базе технологии были разработаны прикладные программы для Android и Веб. О том, как </w:t>
      </w:r>
      <w:hyperlink r:id="rId10" w:history="1">
        <w:r w:rsidRPr="009A47F2">
          <w:rPr>
            <w:rStyle w:val="a5"/>
            <w:color w:val="auto"/>
            <w:u w:val="none"/>
          </w:rPr>
          <w:t>приложение помогает пломбировать вагоны</w:t>
        </w:r>
      </w:hyperlink>
      <w:r w:rsidRPr="009A47F2">
        <w:t>, был </w:t>
      </w:r>
      <w:hyperlink r:id="rId11" w:history="1">
        <w:r w:rsidRPr="009A47F2">
          <w:t>снят проморолик</w:t>
        </w:r>
      </w:hyperlink>
      <w:r w:rsidRPr="009A47F2">
        <w:t>.</w:t>
      </w:r>
    </w:p>
    <w:p w:rsidR="00FA1A2B" w:rsidRPr="009A47F2" w:rsidRDefault="00FA1A2B" w:rsidP="009A47F2">
      <w:pPr>
        <w:pStyle w:val="af2"/>
      </w:pPr>
      <w:r w:rsidRPr="009A47F2">
        <w:t>Также в этом году состоялся дебют технологии ITM-ComPass, разработанной сотрудниками Отдела информационно-аналитических приложений ООО «ИНТЭЛЛЕКС», под руководством</w:t>
      </w:r>
      <w:r w:rsidRPr="009A47F2">
        <w:rPr>
          <w:rStyle w:val="apple-converted-space"/>
          <w:szCs w:val="18"/>
        </w:rPr>
        <w:t> </w:t>
      </w:r>
      <w:r w:rsidRPr="009A47F2">
        <w:t xml:space="preserve">Леонида Максименко. </w:t>
      </w:r>
      <w:r w:rsidR="001D52E2" w:rsidRPr="009A47F2">
        <w:t xml:space="preserve">Дебютом новой технологии стала </w:t>
      </w:r>
      <w:r w:rsidRPr="009A47F2">
        <w:t>АС Компас</w:t>
      </w:r>
      <w:r w:rsidR="001D52E2" w:rsidRPr="009A47F2">
        <w:t xml:space="preserve">, разработанная для </w:t>
      </w:r>
      <w:r w:rsidRPr="009A47F2">
        <w:t>АО «ФПК». Также технологии ITM-ComPass будут применяться в крупном проекте Минтранса по созданию системы транспортного баланса России и в инновационном проекте ОАО «РЖД» «Экспресс-5».</w:t>
      </w:r>
    </w:p>
    <w:p w:rsidR="00FA1A2B" w:rsidRPr="009A47F2" w:rsidRDefault="00FA1A2B" w:rsidP="009A47F2">
      <w:pPr>
        <w:pStyle w:val="af2"/>
      </w:pPr>
      <w:r w:rsidRPr="009A47F2">
        <w:t>В этом году «ИНТЭЛЛЕКС» запустил новую версию</w:t>
      </w:r>
      <w:r w:rsidR="001D52E2" w:rsidRPr="009A47F2">
        <w:t xml:space="preserve"> Автоматизированной системы комплексного транспортно-логистического обслуживания (</w:t>
      </w:r>
      <w:r w:rsidRPr="009A47F2">
        <w:t>АС КТЛО</w:t>
      </w:r>
      <w:r w:rsidR="001D52E2" w:rsidRPr="009A47F2">
        <w:t>) для АО «РЖД Логистика»</w:t>
      </w:r>
      <w:r w:rsidRPr="009A47F2">
        <w:t xml:space="preserve">. </w:t>
      </w:r>
      <w:r w:rsidR="001D52E2" w:rsidRPr="009A47F2">
        <w:t>АС КТЛО</w:t>
      </w:r>
      <w:r w:rsidRPr="009A47F2">
        <w:t xml:space="preserve"> возьмёт под</w:t>
      </w:r>
      <w:r w:rsidR="00B41929" w:rsidRPr="009A47F2">
        <w:t xml:space="preserve"> </w:t>
      </w:r>
      <w:r w:rsidRPr="009A47F2">
        <w:t xml:space="preserve">контроль </w:t>
      </w:r>
      <w:r w:rsidR="001D52E2" w:rsidRPr="009A47F2">
        <w:t>все перевозки, организуемые АО «РЖД Логистика</w:t>
      </w:r>
      <w:proofErr w:type="gramStart"/>
      <w:r w:rsidR="001D52E2" w:rsidRPr="009A47F2">
        <w:t>»в</w:t>
      </w:r>
      <w:proofErr w:type="gramEnd"/>
      <w:r w:rsidR="001D52E2" w:rsidRPr="009A47F2">
        <w:t xml:space="preserve"> интересах своих клиентов</w:t>
      </w:r>
      <w:r w:rsidRPr="009A47F2">
        <w:t xml:space="preserve">. АС КТЛО принципиально отличается от других проектов «ИНТЭЛЛЕКС» тем, что полностью </w:t>
      </w:r>
      <w:proofErr w:type="gramStart"/>
      <w:r w:rsidRPr="009A47F2">
        <w:t>сделана</w:t>
      </w:r>
      <w:proofErr w:type="gramEnd"/>
      <w:r w:rsidRPr="009A47F2">
        <w:t xml:space="preserve"> на</w:t>
      </w:r>
      <w:r w:rsidRPr="009A47F2">
        <w:rPr>
          <w:rStyle w:val="apple-converted-space"/>
          <w:szCs w:val="18"/>
        </w:rPr>
        <w:t> </w:t>
      </w:r>
      <w:r w:rsidRPr="009A47F2">
        <w:t xml:space="preserve">корпоративной платформе XM. Благодаря этому ноу-хау </w:t>
      </w:r>
      <w:r w:rsidR="001D52E2" w:rsidRPr="009A47F2">
        <w:t xml:space="preserve">процесс разработки и настройки АС КТЛО </w:t>
      </w:r>
      <w:r w:rsidRPr="009A47F2">
        <w:t xml:space="preserve">стал занимать существенно меньше времени. Также, по словам руководителя департамента </w:t>
      </w:r>
      <w:proofErr w:type="gramStart"/>
      <w:r w:rsidRPr="009A47F2">
        <w:t>Интегрированных</w:t>
      </w:r>
      <w:proofErr w:type="gramEnd"/>
      <w:r w:rsidRPr="009A47F2">
        <w:t xml:space="preserve"> бизнес-решений</w:t>
      </w:r>
      <w:r w:rsidRPr="009A47F2">
        <w:rPr>
          <w:rStyle w:val="apple-converted-space"/>
          <w:szCs w:val="18"/>
        </w:rPr>
        <w:t> </w:t>
      </w:r>
      <w:r w:rsidRPr="009A47F2">
        <w:t>Владимира Титова</w:t>
      </w:r>
      <w:r w:rsidRPr="009A47F2">
        <w:rPr>
          <w:rStyle w:val="a7"/>
          <w:b w:val="0"/>
          <w:bCs w:val="0"/>
          <w:szCs w:val="18"/>
        </w:rPr>
        <w:t>:</w:t>
      </w:r>
      <w:r w:rsidRPr="009A47F2">
        <w:rPr>
          <w:rStyle w:val="apple-converted-space"/>
          <w:szCs w:val="18"/>
        </w:rPr>
        <w:t> </w:t>
      </w:r>
      <w:r w:rsidRPr="009A47F2">
        <w:t>«На поддержку сложных документов будет уходить существенно меньше времени за счёт стандартизации процесса разработки и документирования в едином</w:t>
      </w:r>
      <w:r w:rsidRPr="009A47F2">
        <w:rPr>
          <w:rStyle w:val="apple-converted-space"/>
          <w:szCs w:val="18"/>
        </w:rPr>
        <w:t> </w:t>
      </w:r>
      <w:r w:rsidRPr="009A47F2">
        <w:t>инструменте</w:t>
      </w:r>
      <w:r w:rsidRPr="009A47F2">
        <w:rPr>
          <w:rStyle w:val="apple-converted-space"/>
          <w:szCs w:val="18"/>
        </w:rPr>
        <w:t> </w:t>
      </w:r>
      <w:r w:rsidRPr="009A47F2">
        <w:t>разработчика XM-дизайнере».</w:t>
      </w:r>
    </w:p>
    <w:p w:rsidR="00FA1A2B" w:rsidRPr="009A47F2" w:rsidRDefault="00FA1A2B" w:rsidP="009A47F2">
      <w:pPr>
        <w:pStyle w:val="af2"/>
      </w:pPr>
      <w:r w:rsidRPr="009A47F2">
        <w:t xml:space="preserve">Этот год стал важным ещё для одного продукта компании, в ОАО «РЖД» </w:t>
      </w:r>
      <w:hyperlink r:id="rId12" w:history="1">
        <w:r w:rsidRPr="009A47F2">
          <w:rPr>
            <w:rStyle w:val="a5"/>
            <w:color w:val="auto"/>
            <w:u w:val="none"/>
          </w:rPr>
          <w:t>началась промышленная эксплуатация Автоматизированной системы управления транспортным обслуживанием</w:t>
        </w:r>
      </w:hyperlink>
      <w:r w:rsidRPr="009A47F2">
        <w:t xml:space="preserve"> (АСУ ТО). Система автоматизирует работу с договорами ОАО «РЖД» на оказание услуги перевозки груженых и порожних вагонов по графику с согласованным временем отправления и прибытия. В настоящее время в системе </w:t>
      </w:r>
      <w:proofErr w:type="gramStart"/>
      <w:r w:rsidRPr="009A47F2">
        <w:t>зафиксировано 510 ниток графика и заключено</w:t>
      </w:r>
      <w:proofErr w:type="gramEnd"/>
      <w:r w:rsidRPr="009A47F2">
        <w:t xml:space="preserve"> 93 договора на перевозку груженых или порожних вагонов по графику. Технология автоматизации помогла ЦФТО – филиалу ОАО «РЖД» — выйти на новый уровень взаимодействия с крупными клиентами. В системе ведутся реестры Ниток, Договоров на перевозку грузов, осуществляется месячное планирование процесса перевозок, реализованы контроль отклонений грузопотоков от согласованных параметров и контроль исполнения договорных обязательств. </w:t>
      </w:r>
    </w:p>
    <w:p w:rsidR="00FA1A2B" w:rsidRPr="009A47F2" w:rsidRDefault="00FA1A2B" w:rsidP="009A47F2">
      <w:pPr>
        <w:pStyle w:val="af2"/>
      </w:pPr>
      <w:r w:rsidRPr="009A47F2">
        <w:t xml:space="preserve">Прошедший год был продуктивным и для флагманского проекта компании — системы ЭТРАН, теперь она взаимодействует </w:t>
      </w:r>
      <w:proofErr w:type="gramStart"/>
      <w:r w:rsidRPr="009A47F2">
        <w:t>с</w:t>
      </w:r>
      <w:proofErr w:type="gramEnd"/>
      <w:r w:rsidRPr="009A47F2">
        <w:t> </w:t>
      </w:r>
      <w:proofErr w:type="gramStart"/>
      <w:r w:rsidRPr="009A47F2">
        <w:t>АС</w:t>
      </w:r>
      <w:proofErr w:type="gramEnd"/>
      <w:r w:rsidRPr="009A47F2">
        <w:t> ЭТД и ИСУЖТ, уведомляет клиентов о прибытии груза на станцию назначения с помощью sms и e</w:t>
      </w:r>
      <w:r w:rsidRPr="009A47F2">
        <w:noBreakHyphen/>
        <w:t xml:space="preserve">mail, помогает ОАО «РЖД» взаимодействовать с железными дорогами Якутии и Крыма. </w:t>
      </w:r>
      <w:proofErr w:type="gramStart"/>
      <w:r w:rsidRPr="009A47F2">
        <w:t>Принимает и обрабатывает</w:t>
      </w:r>
      <w:proofErr w:type="gramEnd"/>
      <w:r w:rsidRPr="009A47F2">
        <w:t xml:space="preserve"> сообщения INVOIC и IFTMIN в формате EDIFACT. Разработан универсальный модуль для загрузки данных в систему ЭТРАН из файлов MS Excel, а также </w:t>
      </w:r>
      <w:r w:rsidRPr="009A47F2">
        <w:lastRenderedPageBreak/>
        <w:t>технология подписания накладных ЭЦП по доверенности. Также расширился объём данных, посылаемых в АСЭВ</w:t>
      </w:r>
      <w:r w:rsidRPr="009A47F2">
        <w:rPr>
          <w:rStyle w:val="af6"/>
          <w:vertAlign w:val="baseline"/>
        </w:rPr>
        <w:footnoteReference w:id="1"/>
      </w:r>
      <w:r w:rsidRPr="009A47F2">
        <w:t> ФТС</w:t>
      </w:r>
      <w:r w:rsidRPr="009A47F2">
        <w:rPr>
          <w:rStyle w:val="apple-converted-space"/>
          <w:szCs w:val="18"/>
        </w:rPr>
        <w:t> </w:t>
      </w:r>
      <w:r w:rsidRPr="009A47F2">
        <w:t>России.</w:t>
      </w:r>
    </w:p>
    <w:p w:rsidR="00FA1A2B" w:rsidRPr="009A47F2" w:rsidRDefault="00FA1A2B" w:rsidP="009A47F2">
      <w:pPr>
        <w:pStyle w:val="af2"/>
      </w:pPr>
      <w:r w:rsidRPr="009A47F2">
        <w:t>Представители компании</w:t>
      </w:r>
      <w:r w:rsidR="00B41929" w:rsidRPr="009A47F2">
        <w:t xml:space="preserve"> </w:t>
      </w:r>
      <w:r w:rsidR="001D52E2" w:rsidRPr="009A47F2">
        <w:t xml:space="preserve">«ИНТЭЛЛЕКС» </w:t>
      </w:r>
      <w:r w:rsidRPr="009A47F2">
        <w:t xml:space="preserve">стали гораздо чаще получать приглашения и ездить в командировки для участия в российских и Международных конференциях и двусторонних встречах по тематике, связанной с ЭОД (в т. ч. с ЭП и в международном сообщении), по СМГС и совместным проектам </w:t>
      </w:r>
      <w:r w:rsidR="00B41929" w:rsidRPr="009A47F2">
        <w:t>с государственными органами РФ.</w:t>
      </w:r>
    </w:p>
    <w:p w:rsidR="00FA1A2B" w:rsidRPr="009A47F2" w:rsidRDefault="00FA1A2B" w:rsidP="009A47F2">
      <w:pPr>
        <w:pStyle w:val="af2"/>
      </w:pPr>
      <w:r w:rsidRPr="009A47F2">
        <w:t>Корпоративный календарь</w:t>
      </w:r>
      <w:r w:rsidRPr="009A47F2">
        <w:rPr>
          <w:rStyle w:val="apple-converted-space"/>
          <w:szCs w:val="18"/>
        </w:rPr>
        <w:t> </w:t>
      </w:r>
      <w:r w:rsidRPr="009A47F2">
        <w:t xml:space="preserve">«ИНТЭЛЛЕКС» </w:t>
      </w:r>
      <w:hyperlink r:id="rId13" w:history="1">
        <w:r w:rsidRPr="009A47F2">
          <w:rPr>
            <w:rStyle w:val="a5"/>
            <w:color w:val="auto"/>
            <w:u w:val="none"/>
          </w:rPr>
          <w:t>«За горизонт»</w:t>
        </w:r>
      </w:hyperlink>
      <w:r w:rsidRPr="009A47F2">
        <w:rPr>
          <w:rStyle w:val="apple-converted-space"/>
          <w:szCs w:val="18"/>
        </w:rPr>
        <w:t> </w:t>
      </w:r>
      <w:r w:rsidRPr="009A47F2">
        <w:t>занял</w:t>
      </w:r>
      <w:r w:rsidRPr="009A47F2">
        <w:rPr>
          <w:rStyle w:val="apple-converted-space"/>
          <w:szCs w:val="18"/>
        </w:rPr>
        <w:t> </w:t>
      </w:r>
      <w:r w:rsidRPr="009A47F2">
        <w:t>III место на VII Всероссийском конкурсе «Корпоративный календарь</w:t>
      </w:r>
      <w:r w:rsidRPr="009A47F2">
        <w:rPr>
          <w:rStyle w:val="apple-converted-space"/>
          <w:szCs w:val="18"/>
        </w:rPr>
        <w:t> </w:t>
      </w:r>
      <w:r w:rsidRPr="009A47F2">
        <w:t>– 2015» в номинации «Дизайн» и II</w:t>
      </w:r>
      <w:r w:rsidR="00B41929" w:rsidRPr="009A47F2">
        <w:t xml:space="preserve"> </w:t>
      </w:r>
      <w:r w:rsidRPr="009A47F2">
        <w:t>место в категории «Народное признание» (</w:t>
      </w:r>
      <w:r w:rsidR="009A47F2">
        <w:t>и</w:t>
      </w:r>
      <w:r w:rsidRPr="009A47F2">
        <w:t>нтернет-голосование).</w:t>
      </w:r>
    </w:p>
    <w:p w:rsidR="0000608F" w:rsidRDefault="0000608F" w:rsidP="0000608F">
      <w:pPr>
        <w:tabs>
          <w:tab w:val="left" w:pos="540"/>
        </w:tabs>
        <w:spacing w:before="24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Компания </w:t>
      </w:r>
      <w:r w:rsidRPr="006946EF">
        <w:rPr>
          <w:rFonts w:ascii="Arial" w:hAnsi="Arial" w:cs="Arial"/>
          <w:b/>
          <w:bCs/>
          <w:i/>
          <w:iCs/>
          <w:sz w:val="18"/>
          <w:szCs w:val="18"/>
        </w:rPr>
        <w:t>«И</w:t>
      </w:r>
      <w:r w:rsidR="00FA1A2B">
        <w:rPr>
          <w:rFonts w:ascii="Arial" w:hAnsi="Arial" w:cs="Arial"/>
          <w:b/>
          <w:bCs/>
          <w:i/>
          <w:iCs/>
          <w:sz w:val="18"/>
          <w:szCs w:val="18"/>
        </w:rPr>
        <w:t>НТЭЛЛЕКС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» (</w:t>
      </w:r>
      <w:hyperlink r:id="rId14" w:history="1">
        <w:r w:rsidRPr="00935C8B">
          <w:rPr>
            <w:rStyle w:val="a5"/>
            <w:rFonts w:ascii="Arial" w:hAnsi="Arial" w:cs="Arial"/>
            <w:bCs/>
            <w:i/>
            <w:iCs/>
            <w:sz w:val="18"/>
            <w:szCs w:val="18"/>
          </w:rPr>
          <w:t>www.intellex.ru</w:t>
        </w:r>
      </w:hyperlink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) занимает лидирующие позиции на рынке разработки </w:t>
      </w:r>
      <w:r>
        <w:rPr>
          <w:rFonts w:ascii="Arial" w:hAnsi="Arial" w:cs="Arial"/>
          <w:bCs/>
          <w:i/>
          <w:iCs/>
          <w:sz w:val="18"/>
          <w:szCs w:val="18"/>
        </w:rPr>
        <w:t>ИТ-систем для железнодорожной отрасли, явл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яется разработчиком автоматизированной системы ЭТРАН</w:t>
      </w:r>
      <w:r>
        <w:rPr>
          <w:rFonts w:ascii="Arial" w:hAnsi="Arial" w:cs="Arial"/>
          <w:bCs/>
          <w:i/>
          <w:iCs/>
          <w:sz w:val="18"/>
          <w:szCs w:val="18"/>
        </w:rPr>
        <w:t>, в которой оформляются 100% грузовых железнодорожных перевозок в России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iCs/>
          <w:sz w:val="18"/>
          <w:szCs w:val="18"/>
        </w:rPr>
        <w:t>Компания «</w:t>
      </w:r>
      <w:r w:rsidR="00FA1A2B">
        <w:rPr>
          <w:rFonts w:ascii="Arial" w:hAnsi="Arial" w:cs="Arial"/>
          <w:bCs/>
          <w:i/>
          <w:iCs/>
          <w:sz w:val="18"/>
          <w:szCs w:val="18"/>
        </w:rPr>
        <w:t>ИНТЭЛЛЕКС</w:t>
      </w:r>
      <w:r>
        <w:rPr>
          <w:rFonts w:ascii="Arial" w:hAnsi="Arial" w:cs="Arial"/>
          <w:bCs/>
          <w:i/>
          <w:iCs/>
          <w:sz w:val="18"/>
          <w:szCs w:val="18"/>
        </w:rPr>
        <w:t>» несколько раз была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 удостоена премии «Партнер открытого акционерного общества «Российские железные дороги» в номинации «Лучший поставщик ИТ-ре</w:t>
      </w:r>
      <w:r>
        <w:rPr>
          <w:rFonts w:ascii="Arial" w:hAnsi="Arial" w:cs="Arial"/>
          <w:bCs/>
          <w:i/>
          <w:iCs/>
          <w:sz w:val="18"/>
          <w:szCs w:val="18"/>
        </w:rPr>
        <w:t>шений», была номинантом премии «Золотая колесница» в номинации «</w:t>
      </w:r>
      <w:r w:rsidRPr="00C76444">
        <w:rPr>
          <w:rFonts w:ascii="Arial" w:hAnsi="Arial" w:cs="Arial"/>
          <w:bCs/>
          <w:i/>
          <w:iCs/>
          <w:sz w:val="18"/>
          <w:szCs w:val="18"/>
        </w:rPr>
        <w:t>Проект года транспортной отрасли России»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  <w:r w:rsidRPr="00756C10">
        <w:rPr>
          <w:rFonts w:ascii="Arial" w:hAnsi="Arial" w:cs="Arial"/>
          <w:bCs/>
          <w:i/>
          <w:iCs/>
          <w:sz w:val="18"/>
          <w:szCs w:val="18"/>
        </w:rPr>
        <w:t xml:space="preserve"> В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2012 году «</w:t>
      </w:r>
      <w:r w:rsidR="00FA1A2B">
        <w:rPr>
          <w:rFonts w:ascii="Arial" w:hAnsi="Arial" w:cs="Arial"/>
          <w:bCs/>
          <w:i/>
          <w:iCs/>
          <w:sz w:val="18"/>
          <w:szCs w:val="18"/>
        </w:rPr>
        <w:t>ИНТЭЛЛЕКС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» </w:t>
      </w:r>
      <w:r w:rsidRPr="00F51BF4">
        <w:rPr>
          <w:rFonts w:ascii="Arial" w:hAnsi="Arial" w:cs="Arial"/>
          <w:bCs/>
          <w:i/>
          <w:iCs/>
          <w:sz w:val="18"/>
          <w:szCs w:val="18"/>
        </w:rPr>
        <w:t>стал лауреатом премии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«Компания года»</w:t>
      </w:r>
      <w:r w:rsidRPr="00F51BF4">
        <w:rPr>
          <w:rFonts w:ascii="Arial" w:hAnsi="Arial" w:cs="Arial"/>
          <w:bCs/>
          <w:i/>
          <w:iCs/>
          <w:sz w:val="18"/>
          <w:szCs w:val="18"/>
        </w:rPr>
        <w:t xml:space="preserve"> в секции «Программное обеспечение» за вклад в реальный сектор экономики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9A16B6" w:rsidRPr="00BB73FC" w:rsidRDefault="009A16B6" w:rsidP="009A16B6">
      <w:pPr>
        <w:rPr>
          <w:rFonts w:ascii="Verdana" w:hAnsi="Verdana" w:cs="Tahoma"/>
          <w:noProof/>
          <w:sz w:val="18"/>
          <w:szCs w:val="18"/>
        </w:rPr>
      </w:pPr>
    </w:p>
    <w:p w:rsidR="004F1B74" w:rsidRPr="00AB7D9A" w:rsidRDefault="004F1B74" w:rsidP="004F1B74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Контакты со СМИ</w:t>
      </w:r>
    </w:p>
    <w:p w:rsidR="004F1B74" w:rsidRDefault="004F1B74" w:rsidP="004F1B74">
      <w:pPr>
        <w:pStyle w:val="ac"/>
        <w:rPr>
          <w:rFonts w:eastAsia="Verdana"/>
        </w:rPr>
      </w:pPr>
      <w:r>
        <w:rPr>
          <w:rFonts w:eastAsia="Verdana"/>
        </w:rPr>
        <w:t>Макарова Кира Сергеевна</w:t>
      </w:r>
    </w:p>
    <w:p w:rsidR="004F1B74" w:rsidRPr="00FA1A2B" w:rsidRDefault="00FA1A2B" w:rsidP="004F1B74">
      <w:pPr>
        <w:pStyle w:val="ac"/>
        <w:rPr>
          <w:rFonts w:eastAsia="Verdana"/>
        </w:rPr>
      </w:pPr>
      <w:r>
        <w:rPr>
          <w:rFonts w:eastAsia="Verdana"/>
        </w:rPr>
        <w:t>Главный специалист отдела PR и маркетинга</w:t>
      </w:r>
    </w:p>
    <w:p w:rsidR="004F1B74" w:rsidRDefault="00FA1A2B" w:rsidP="004F1B74">
      <w:pPr>
        <w:pStyle w:val="ac"/>
        <w:rPr>
          <w:rFonts w:eastAsia="Verdana"/>
        </w:rPr>
      </w:pPr>
      <w:r>
        <w:rPr>
          <w:rFonts w:eastAsia="Verdana"/>
        </w:rPr>
        <w:t>ИНТЭЛЛЕКС</w:t>
      </w:r>
    </w:p>
    <w:p w:rsidR="004F1B74" w:rsidRDefault="004F1B74" w:rsidP="004F1B74">
      <w:pPr>
        <w:pStyle w:val="ac"/>
        <w:rPr>
          <w:rFonts w:eastAsia="Verdana"/>
        </w:rPr>
      </w:pPr>
      <w:r>
        <w:rPr>
          <w:rFonts w:eastAsia="Verdana"/>
        </w:rPr>
        <w:t>Тел.: +7 (499) 929-03-48</w:t>
      </w:r>
    </w:p>
    <w:p w:rsidR="004F1B74" w:rsidRDefault="00B41929" w:rsidP="004F1B74">
      <w:pPr>
        <w:pStyle w:val="ac"/>
        <w:rPr>
          <w:rFonts w:eastAsia="Verdana"/>
        </w:rPr>
      </w:pPr>
      <w:r>
        <w:rPr>
          <w:rFonts w:eastAsia="Verdana"/>
        </w:rPr>
        <w:t xml:space="preserve"> </w:t>
      </w:r>
      <w:r w:rsidR="004F1B74">
        <w:rPr>
          <w:rFonts w:eastAsia="Verdana"/>
        </w:rPr>
        <w:t xml:space="preserve">+7 (499) 929-83-71, доб. </w:t>
      </w:r>
      <w:r w:rsidR="00F659E6">
        <w:rPr>
          <w:rFonts w:eastAsia="Verdana"/>
        </w:rPr>
        <w:t>212</w:t>
      </w:r>
    </w:p>
    <w:p w:rsidR="004F1B74" w:rsidRDefault="004F1B74" w:rsidP="004F1B74">
      <w:pPr>
        <w:pStyle w:val="ac"/>
        <w:rPr>
          <w:rFonts w:eastAsia="Verdana"/>
        </w:rPr>
      </w:pPr>
      <w:r>
        <w:rPr>
          <w:rFonts w:eastAsia="Verdana"/>
        </w:rPr>
        <w:t>Моб.: +7 (917) 58-00-195</w:t>
      </w:r>
    </w:p>
    <w:p w:rsidR="004F1B74" w:rsidRDefault="004F1B74" w:rsidP="004F1B74">
      <w:pPr>
        <w:pStyle w:val="ac"/>
        <w:rPr>
          <w:rFonts w:eastAsia="Verdana"/>
        </w:rPr>
      </w:pPr>
      <w:r>
        <w:rPr>
          <w:rFonts w:eastAsia="Verdana"/>
        </w:rPr>
        <w:t>Факс: +7 (499) 929-00-25</w:t>
      </w:r>
    </w:p>
    <w:p w:rsidR="004F1B74" w:rsidRDefault="00CC4AA4" w:rsidP="004F1B74">
      <w:pPr>
        <w:pStyle w:val="ac"/>
        <w:rPr>
          <w:rFonts w:eastAsia="Verdana"/>
          <w:color w:val="1155CC"/>
          <w:u w:val="single"/>
        </w:rPr>
      </w:pPr>
      <w:hyperlink r:id="rId15" w:history="1">
        <w:r w:rsidR="004F1B74">
          <w:rPr>
            <w:rFonts w:eastAsia="Verdana"/>
            <w:color w:val="1155CC"/>
            <w:u w:val="single"/>
          </w:rPr>
          <w:t>makarova</w:t>
        </w:r>
      </w:hyperlink>
      <w:hyperlink r:id="rId16" w:history="1">
        <w:r w:rsidR="004F1B74">
          <w:rPr>
            <w:rFonts w:eastAsia="Verdana"/>
            <w:color w:val="1155CC"/>
            <w:u w:val="single"/>
          </w:rPr>
          <w:t>@</w:t>
        </w:r>
      </w:hyperlink>
      <w:hyperlink r:id="rId17" w:history="1">
        <w:r w:rsidR="004F1B74">
          <w:rPr>
            <w:rFonts w:eastAsia="Verdana"/>
            <w:color w:val="1155CC"/>
            <w:u w:val="single"/>
          </w:rPr>
          <w:t>intellex</w:t>
        </w:r>
      </w:hyperlink>
      <w:hyperlink r:id="rId18" w:history="1">
        <w:r w:rsidR="004F1B74">
          <w:rPr>
            <w:rFonts w:eastAsia="Verdana"/>
            <w:color w:val="1155CC"/>
            <w:u w:val="single"/>
          </w:rPr>
          <w:t>.</w:t>
        </w:r>
      </w:hyperlink>
      <w:hyperlink r:id="rId19" w:history="1">
        <w:r w:rsidR="004F1B74">
          <w:rPr>
            <w:rFonts w:eastAsia="Verdana"/>
            <w:color w:val="1155CC"/>
            <w:u w:val="single"/>
          </w:rPr>
          <w:t>ru</w:t>
        </w:r>
      </w:hyperlink>
    </w:p>
    <w:p w:rsidR="004F1B74" w:rsidRDefault="004F1B74" w:rsidP="004F1B74">
      <w:pPr>
        <w:pStyle w:val="ac"/>
        <w:rPr>
          <w:rFonts w:eastAsia="Verdana"/>
        </w:rPr>
      </w:pPr>
      <w:r>
        <w:rPr>
          <w:rFonts w:eastAsia="Verdana"/>
        </w:rPr>
        <w:t>ICQ 41-55-77-865</w:t>
      </w:r>
    </w:p>
    <w:p w:rsidR="009A16B6" w:rsidRPr="00610F4B" w:rsidRDefault="009A16B6" w:rsidP="004F1B74">
      <w:pPr>
        <w:rPr>
          <w:rFonts w:ascii="Verdana" w:hAnsi="Verdana" w:cs="Tahoma"/>
          <w:color w:val="000080"/>
          <w:sz w:val="18"/>
          <w:szCs w:val="18"/>
        </w:rPr>
      </w:pPr>
    </w:p>
    <w:sectPr w:rsidR="009A16B6" w:rsidRPr="00610F4B" w:rsidSect="008969BD">
      <w:headerReference w:type="default" r:id="rId20"/>
      <w:footerReference w:type="default" r:id="rId21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B6" w:rsidRDefault="00B420B6">
      <w:r>
        <w:separator/>
      </w:r>
    </w:p>
  </w:endnote>
  <w:endnote w:type="continuationSeparator" w:id="0">
    <w:p w:rsidR="00B420B6" w:rsidRDefault="00B4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2B" w:rsidRPr="00AA6D1A" w:rsidRDefault="00FA1A2B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</w:p>
  <w:p w:rsidR="00FA1A2B" w:rsidRPr="00AA6D1A" w:rsidRDefault="00FA1A2B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  <w:r w:rsidRPr="00AA6D1A">
      <w:rPr>
        <w:rFonts w:ascii="Tahoma" w:hAnsi="Tahoma" w:cs="Tahoma"/>
        <w:b/>
        <w:color w:val="999999"/>
        <w:sz w:val="16"/>
        <w:szCs w:val="16"/>
      </w:rPr>
      <w:t>107996, Москва, Орликов пер., д. 5</w:t>
    </w:r>
  </w:p>
  <w:p w:rsidR="00FA1A2B" w:rsidRPr="00AA6D1A" w:rsidRDefault="00FA1A2B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  <w:r>
      <w:rPr>
        <w:rFonts w:ascii="Tahoma" w:hAnsi="Tahoma" w:cs="Tahoma"/>
        <w:b/>
        <w:color w:val="999999"/>
        <w:sz w:val="16"/>
        <w:szCs w:val="16"/>
      </w:rPr>
      <w:t>Тел.: (49</w:t>
    </w:r>
    <w:r w:rsidRPr="00FE4A8E">
      <w:rPr>
        <w:rFonts w:ascii="Tahoma" w:hAnsi="Tahoma" w:cs="Tahoma"/>
        <w:b/>
        <w:color w:val="999999"/>
        <w:sz w:val="16"/>
        <w:szCs w:val="16"/>
      </w:rPr>
      <w:t>9</w:t>
    </w:r>
    <w:r>
      <w:rPr>
        <w:rFonts w:ascii="Tahoma" w:hAnsi="Tahoma" w:cs="Tahoma"/>
        <w:b/>
        <w:color w:val="999999"/>
        <w:sz w:val="16"/>
        <w:szCs w:val="16"/>
      </w:rPr>
      <w:t>) 9</w:t>
    </w:r>
    <w:r w:rsidRPr="00FE4A8E">
      <w:rPr>
        <w:rFonts w:ascii="Tahoma" w:hAnsi="Tahoma" w:cs="Tahoma"/>
        <w:b/>
        <w:color w:val="999999"/>
        <w:sz w:val="16"/>
        <w:szCs w:val="16"/>
      </w:rPr>
      <w:t>29</w:t>
    </w:r>
    <w:r>
      <w:rPr>
        <w:rFonts w:ascii="Tahoma" w:hAnsi="Tahoma" w:cs="Tahoma"/>
        <w:b/>
        <w:color w:val="999999"/>
        <w:sz w:val="16"/>
        <w:szCs w:val="16"/>
      </w:rPr>
      <w:t>-83-71 Факс: (49</w:t>
    </w:r>
    <w:r w:rsidRPr="00FE4A8E">
      <w:rPr>
        <w:rFonts w:ascii="Tahoma" w:hAnsi="Tahoma" w:cs="Tahoma"/>
        <w:b/>
        <w:color w:val="999999"/>
        <w:sz w:val="16"/>
        <w:szCs w:val="16"/>
      </w:rPr>
      <w:t>9</w:t>
    </w:r>
    <w:r>
      <w:rPr>
        <w:rFonts w:ascii="Tahoma" w:hAnsi="Tahoma" w:cs="Tahoma"/>
        <w:b/>
        <w:color w:val="999999"/>
        <w:sz w:val="16"/>
        <w:szCs w:val="16"/>
      </w:rPr>
      <w:t>) 9</w:t>
    </w:r>
    <w:r w:rsidRPr="00FE4A8E">
      <w:rPr>
        <w:rFonts w:ascii="Tahoma" w:hAnsi="Tahoma" w:cs="Tahoma"/>
        <w:b/>
        <w:color w:val="999999"/>
        <w:sz w:val="16"/>
        <w:szCs w:val="16"/>
      </w:rPr>
      <w:t>29</w:t>
    </w:r>
    <w:r w:rsidRPr="00AA6D1A">
      <w:rPr>
        <w:rFonts w:ascii="Tahoma" w:hAnsi="Tahoma" w:cs="Tahoma"/>
        <w:b/>
        <w:color w:val="999999"/>
        <w:sz w:val="16"/>
        <w:szCs w:val="16"/>
      </w:rPr>
      <w:t xml:space="preserve">-00-25 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www</w:t>
    </w:r>
    <w:r w:rsidRPr="00AA6D1A">
      <w:rPr>
        <w:rFonts w:ascii="Tahoma" w:hAnsi="Tahoma" w:cs="Tahoma"/>
        <w:b/>
        <w:color w:val="999999"/>
        <w:sz w:val="16"/>
        <w:szCs w:val="16"/>
      </w:rPr>
      <w:t>.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intellex</w:t>
    </w:r>
    <w:r w:rsidRPr="00AA6D1A">
      <w:rPr>
        <w:rFonts w:ascii="Tahoma" w:hAnsi="Tahoma" w:cs="Tahoma"/>
        <w:b/>
        <w:color w:val="999999"/>
        <w:sz w:val="16"/>
        <w:szCs w:val="16"/>
      </w:rPr>
      <w:t>.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ru</w:t>
    </w:r>
  </w:p>
  <w:p w:rsidR="00FA1A2B" w:rsidRPr="00AA6D1A" w:rsidRDefault="00FA1A2B" w:rsidP="008969BD">
    <w:pPr>
      <w:pStyle w:val="a4"/>
      <w:jc w:val="center"/>
      <w:rPr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B6" w:rsidRDefault="00B420B6">
      <w:r>
        <w:separator/>
      </w:r>
    </w:p>
  </w:footnote>
  <w:footnote w:type="continuationSeparator" w:id="0">
    <w:p w:rsidR="00B420B6" w:rsidRDefault="00B420B6">
      <w:r>
        <w:continuationSeparator/>
      </w:r>
    </w:p>
  </w:footnote>
  <w:footnote w:id="1">
    <w:p w:rsidR="00FA1A2B" w:rsidRDefault="00FA1A2B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ascii="Candara" w:hAnsi="Candara"/>
          <w:color w:val="333333"/>
          <w:sz w:val="18"/>
          <w:szCs w:val="18"/>
        </w:rPr>
        <w:t>автоматизированная система электронного</w:t>
      </w:r>
      <w:r>
        <w:rPr>
          <w:rStyle w:val="apple-converted-space"/>
          <w:rFonts w:ascii="Candara" w:hAnsi="Candara"/>
          <w:color w:val="333333"/>
          <w:sz w:val="18"/>
          <w:szCs w:val="18"/>
        </w:rPr>
        <w:t> </w:t>
      </w:r>
      <w:r>
        <w:rPr>
          <w:rFonts w:ascii="Candara" w:hAnsi="Candara"/>
          <w:color w:val="333333"/>
          <w:sz w:val="18"/>
          <w:szCs w:val="18"/>
        </w:rPr>
        <w:t>взаимодействия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2B" w:rsidRPr="00AA6D1A" w:rsidRDefault="00FA1A2B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 xml:space="preserve">Компания </w:t>
    </w:r>
    <w:r>
      <w:rPr>
        <w:rFonts w:ascii="Tahoma" w:hAnsi="Tahoma" w:cs="Tahoma"/>
        <w:b/>
        <w:caps/>
        <w:sz w:val="16"/>
        <w:szCs w:val="16"/>
      </w:rPr>
      <w:t>«ИНТЭЛЛЕКС»</w:t>
    </w:r>
  </w:p>
  <w:p w:rsidR="00FA1A2B" w:rsidRPr="00AA6D1A" w:rsidRDefault="00FA1A2B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  <w:p w:rsidR="00FA1A2B" w:rsidRPr="00AA6D1A" w:rsidRDefault="00FA1A2B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Разработка</w:t>
    </w:r>
  </w:p>
  <w:p w:rsidR="00FA1A2B" w:rsidRPr="00AA6D1A" w:rsidRDefault="00FA1A2B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Программного обеспечения</w:t>
    </w:r>
  </w:p>
  <w:p w:rsidR="00FA1A2B" w:rsidRDefault="00FA1A2B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В сфере транспортной логистики</w:t>
    </w:r>
  </w:p>
  <w:p w:rsidR="00FA1A2B" w:rsidRDefault="00FA1A2B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  <w:p w:rsidR="00FA1A2B" w:rsidRPr="00AA6D1A" w:rsidRDefault="00FA1A2B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C3"/>
    <w:multiLevelType w:val="hybridMultilevel"/>
    <w:tmpl w:val="FF3662A8"/>
    <w:lvl w:ilvl="0" w:tplc="3C143D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6B6"/>
    <w:rsid w:val="0000608F"/>
    <w:rsid w:val="000130D7"/>
    <w:rsid w:val="000150C9"/>
    <w:rsid w:val="000239CC"/>
    <w:rsid w:val="00023E05"/>
    <w:rsid w:val="00026B42"/>
    <w:rsid w:val="0003556F"/>
    <w:rsid w:val="00052E65"/>
    <w:rsid w:val="00067873"/>
    <w:rsid w:val="0007280D"/>
    <w:rsid w:val="000820A3"/>
    <w:rsid w:val="0009157C"/>
    <w:rsid w:val="000A48BE"/>
    <w:rsid w:val="000E0F2F"/>
    <w:rsid w:val="00113D5F"/>
    <w:rsid w:val="001317A5"/>
    <w:rsid w:val="00135271"/>
    <w:rsid w:val="00136056"/>
    <w:rsid w:val="00146D0D"/>
    <w:rsid w:val="00176093"/>
    <w:rsid w:val="001A3247"/>
    <w:rsid w:val="001B03B6"/>
    <w:rsid w:val="001B1609"/>
    <w:rsid w:val="001D3AE9"/>
    <w:rsid w:val="001D52E2"/>
    <w:rsid w:val="001E1FB2"/>
    <w:rsid w:val="0024196D"/>
    <w:rsid w:val="0025048B"/>
    <w:rsid w:val="002719F7"/>
    <w:rsid w:val="00272649"/>
    <w:rsid w:val="0028595B"/>
    <w:rsid w:val="002933AC"/>
    <w:rsid w:val="002D356C"/>
    <w:rsid w:val="002F0C30"/>
    <w:rsid w:val="002F309F"/>
    <w:rsid w:val="00325901"/>
    <w:rsid w:val="00330B39"/>
    <w:rsid w:val="0034490C"/>
    <w:rsid w:val="0038531F"/>
    <w:rsid w:val="00394096"/>
    <w:rsid w:val="003D4692"/>
    <w:rsid w:val="003E6D57"/>
    <w:rsid w:val="00400BFD"/>
    <w:rsid w:val="004321A2"/>
    <w:rsid w:val="00436011"/>
    <w:rsid w:val="00461B23"/>
    <w:rsid w:val="004767F7"/>
    <w:rsid w:val="004837D0"/>
    <w:rsid w:val="004B1664"/>
    <w:rsid w:val="004D04D4"/>
    <w:rsid w:val="004D72CD"/>
    <w:rsid w:val="004E2804"/>
    <w:rsid w:val="004F1B74"/>
    <w:rsid w:val="005618C3"/>
    <w:rsid w:val="0057335C"/>
    <w:rsid w:val="00585461"/>
    <w:rsid w:val="005A0E96"/>
    <w:rsid w:val="005E57D1"/>
    <w:rsid w:val="005F02CD"/>
    <w:rsid w:val="00602DFB"/>
    <w:rsid w:val="00610F4B"/>
    <w:rsid w:val="00616B50"/>
    <w:rsid w:val="00620BFC"/>
    <w:rsid w:val="0062593A"/>
    <w:rsid w:val="00625DCE"/>
    <w:rsid w:val="00630995"/>
    <w:rsid w:val="00642F0C"/>
    <w:rsid w:val="00665172"/>
    <w:rsid w:val="006A6947"/>
    <w:rsid w:val="006C48DE"/>
    <w:rsid w:val="006F5214"/>
    <w:rsid w:val="00707085"/>
    <w:rsid w:val="0072071F"/>
    <w:rsid w:val="0072528E"/>
    <w:rsid w:val="007254D3"/>
    <w:rsid w:val="007473BA"/>
    <w:rsid w:val="00756B0C"/>
    <w:rsid w:val="00756C10"/>
    <w:rsid w:val="00766DB4"/>
    <w:rsid w:val="007A3B98"/>
    <w:rsid w:val="007D7404"/>
    <w:rsid w:val="007E3475"/>
    <w:rsid w:val="00803970"/>
    <w:rsid w:val="00825BA4"/>
    <w:rsid w:val="008433B3"/>
    <w:rsid w:val="00853776"/>
    <w:rsid w:val="0085784D"/>
    <w:rsid w:val="00863C3E"/>
    <w:rsid w:val="00864A96"/>
    <w:rsid w:val="008969BD"/>
    <w:rsid w:val="008D6CC5"/>
    <w:rsid w:val="008F5862"/>
    <w:rsid w:val="00942FEF"/>
    <w:rsid w:val="00945420"/>
    <w:rsid w:val="00946335"/>
    <w:rsid w:val="009637D2"/>
    <w:rsid w:val="009A16B6"/>
    <w:rsid w:val="009A47F2"/>
    <w:rsid w:val="009C4651"/>
    <w:rsid w:val="009C6816"/>
    <w:rsid w:val="009D0EE0"/>
    <w:rsid w:val="009D39F7"/>
    <w:rsid w:val="009D7FD7"/>
    <w:rsid w:val="009F265C"/>
    <w:rsid w:val="00A030F1"/>
    <w:rsid w:val="00A05DF6"/>
    <w:rsid w:val="00A11A21"/>
    <w:rsid w:val="00A43DF2"/>
    <w:rsid w:val="00A52163"/>
    <w:rsid w:val="00A54416"/>
    <w:rsid w:val="00A67414"/>
    <w:rsid w:val="00A82FB8"/>
    <w:rsid w:val="00AF25C7"/>
    <w:rsid w:val="00AF7C6C"/>
    <w:rsid w:val="00B27907"/>
    <w:rsid w:val="00B3772C"/>
    <w:rsid w:val="00B410DB"/>
    <w:rsid w:val="00B41929"/>
    <w:rsid w:val="00B420B6"/>
    <w:rsid w:val="00B620D4"/>
    <w:rsid w:val="00B918E4"/>
    <w:rsid w:val="00BA0F7E"/>
    <w:rsid w:val="00BA30FF"/>
    <w:rsid w:val="00BB0876"/>
    <w:rsid w:val="00BF11EF"/>
    <w:rsid w:val="00BF28C5"/>
    <w:rsid w:val="00C11AEC"/>
    <w:rsid w:val="00C173E1"/>
    <w:rsid w:val="00C24779"/>
    <w:rsid w:val="00C33F59"/>
    <w:rsid w:val="00C42DDD"/>
    <w:rsid w:val="00C63F9D"/>
    <w:rsid w:val="00C803C9"/>
    <w:rsid w:val="00C84515"/>
    <w:rsid w:val="00CA6BCE"/>
    <w:rsid w:val="00CB306D"/>
    <w:rsid w:val="00CC4AA4"/>
    <w:rsid w:val="00CE17CB"/>
    <w:rsid w:val="00CF49FF"/>
    <w:rsid w:val="00D07F71"/>
    <w:rsid w:val="00D2246C"/>
    <w:rsid w:val="00D367E7"/>
    <w:rsid w:val="00D8260A"/>
    <w:rsid w:val="00D86374"/>
    <w:rsid w:val="00E07305"/>
    <w:rsid w:val="00E37038"/>
    <w:rsid w:val="00E4293A"/>
    <w:rsid w:val="00E442EC"/>
    <w:rsid w:val="00E87552"/>
    <w:rsid w:val="00EB2867"/>
    <w:rsid w:val="00ED1B11"/>
    <w:rsid w:val="00ED1B49"/>
    <w:rsid w:val="00ED21A7"/>
    <w:rsid w:val="00ED57A8"/>
    <w:rsid w:val="00EE2A89"/>
    <w:rsid w:val="00F01420"/>
    <w:rsid w:val="00F02C0D"/>
    <w:rsid w:val="00F35C56"/>
    <w:rsid w:val="00F51BF4"/>
    <w:rsid w:val="00F659E6"/>
    <w:rsid w:val="00F87E52"/>
    <w:rsid w:val="00FA1A2B"/>
    <w:rsid w:val="00FC5B20"/>
    <w:rsid w:val="00FD62C9"/>
    <w:rsid w:val="00FE4A8E"/>
    <w:rsid w:val="00FF0BCE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B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1A2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16B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16B6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9A16B6"/>
    <w:rPr>
      <w:color w:val="0000FF"/>
      <w:u w:val="single"/>
    </w:rPr>
  </w:style>
  <w:style w:type="character" w:customStyle="1" w:styleId="EmailStyle18">
    <w:name w:val="EmailStyle181"/>
    <w:aliases w:val="EmailStyle181"/>
    <w:basedOn w:val="a0"/>
    <w:semiHidden/>
    <w:personal/>
    <w:personalCompose/>
    <w:rsid w:val="009A16B6"/>
    <w:rPr>
      <w:rFonts w:ascii="Arial" w:hAnsi="Arial" w:cs="Arial"/>
      <w:color w:val="auto"/>
      <w:sz w:val="20"/>
      <w:szCs w:val="20"/>
    </w:rPr>
  </w:style>
  <w:style w:type="paragraph" w:styleId="a6">
    <w:name w:val="Normal (Web)"/>
    <w:basedOn w:val="a"/>
    <w:rsid w:val="00A030F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4293A"/>
    <w:rPr>
      <w:b/>
      <w:bCs/>
    </w:rPr>
  </w:style>
  <w:style w:type="character" w:styleId="a8">
    <w:name w:val="annotation reference"/>
    <w:basedOn w:val="a0"/>
    <w:semiHidden/>
    <w:rsid w:val="00BB0876"/>
    <w:rPr>
      <w:sz w:val="16"/>
      <w:szCs w:val="16"/>
    </w:rPr>
  </w:style>
  <w:style w:type="paragraph" w:styleId="a9">
    <w:name w:val="annotation text"/>
    <w:basedOn w:val="a"/>
    <w:semiHidden/>
    <w:rsid w:val="00BB0876"/>
    <w:rPr>
      <w:sz w:val="20"/>
      <w:szCs w:val="20"/>
    </w:rPr>
  </w:style>
  <w:style w:type="paragraph" w:styleId="aa">
    <w:name w:val="annotation subject"/>
    <w:basedOn w:val="a9"/>
    <w:next w:val="a9"/>
    <w:semiHidden/>
    <w:rsid w:val="00BB0876"/>
    <w:rPr>
      <w:b/>
      <w:bCs/>
    </w:rPr>
  </w:style>
  <w:style w:type="paragraph" w:styleId="ab">
    <w:name w:val="Balloon Text"/>
    <w:basedOn w:val="a"/>
    <w:semiHidden/>
    <w:rsid w:val="00BB0876"/>
    <w:rPr>
      <w:rFonts w:ascii="Tahoma" w:hAnsi="Tahoma" w:cs="Tahoma"/>
      <w:sz w:val="16"/>
      <w:szCs w:val="16"/>
    </w:rPr>
  </w:style>
  <w:style w:type="paragraph" w:customStyle="1" w:styleId="ac">
    <w:name w:val="Контакт"/>
    <w:basedOn w:val="a"/>
    <w:link w:val="ad"/>
    <w:qFormat/>
    <w:rsid w:val="004F1B74"/>
    <w:rPr>
      <w:rFonts w:ascii="Verdana" w:hAnsi="Verdana" w:cs="Tahoma"/>
      <w:noProof/>
      <w:sz w:val="18"/>
      <w:szCs w:val="18"/>
    </w:rPr>
  </w:style>
  <w:style w:type="character" w:customStyle="1" w:styleId="ad">
    <w:name w:val="Контакт Знак"/>
    <w:basedOn w:val="a0"/>
    <w:link w:val="ac"/>
    <w:rsid w:val="004F1B74"/>
    <w:rPr>
      <w:rFonts w:ascii="Verdana" w:hAnsi="Verdana" w:cs="Tahoma"/>
      <w:noProof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A1A2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ae">
    <w:name w:val="Заголовок"/>
    <w:basedOn w:val="a"/>
    <w:link w:val="af"/>
    <w:qFormat/>
    <w:rsid w:val="00FA1A2B"/>
    <w:pPr>
      <w:spacing w:before="240" w:after="240"/>
      <w:jc w:val="both"/>
    </w:pPr>
    <w:rPr>
      <w:rFonts w:ascii="Verdana" w:hAnsi="Verdana"/>
      <w:b/>
      <w:bCs/>
      <w:color w:val="184387"/>
    </w:rPr>
  </w:style>
  <w:style w:type="paragraph" w:customStyle="1" w:styleId="af0">
    <w:name w:val="лид"/>
    <w:basedOn w:val="a"/>
    <w:link w:val="af1"/>
    <w:qFormat/>
    <w:rsid w:val="00FA1A2B"/>
    <w:pPr>
      <w:jc w:val="both"/>
    </w:pPr>
    <w:rPr>
      <w:rFonts w:ascii="Verdana" w:hAnsi="Verdana"/>
      <w:b/>
      <w:i/>
      <w:iCs/>
      <w:sz w:val="20"/>
      <w:szCs w:val="20"/>
    </w:rPr>
  </w:style>
  <w:style w:type="character" w:customStyle="1" w:styleId="af">
    <w:name w:val="Заголовок Знак"/>
    <w:basedOn w:val="a0"/>
    <w:link w:val="ae"/>
    <w:rsid w:val="00FA1A2B"/>
    <w:rPr>
      <w:rFonts w:ascii="Verdana" w:hAnsi="Verdana"/>
      <w:b/>
      <w:bCs/>
      <w:color w:val="184387"/>
      <w:sz w:val="24"/>
      <w:szCs w:val="24"/>
    </w:rPr>
  </w:style>
  <w:style w:type="character" w:customStyle="1" w:styleId="apple-converted-space">
    <w:name w:val="apple-converted-space"/>
    <w:basedOn w:val="a0"/>
    <w:rsid w:val="00FA1A2B"/>
  </w:style>
  <w:style w:type="character" w:customStyle="1" w:styleId="af1">
    <w:name w:val="лид Знак"/>
    <w:basedOn w:val="a0"/>
    <w:link w:val="af0"/>
    <w:rsid w:val="00FA1A2B"/>
    <w:rPr>
      <w:rFonts w:ascii="Verdana" w:hAnsi="Verdana"/>
      <w:b/>
      <w:i/>
      <w:iCs/>
    </w:rPr>
  </w:style>
  <w:style w:type="paragraph" w:customStyle="1" w:styleId="af2">
    <w:name w:val="релиз"/>
    <w:basedOn w:val="a"/>
    <w:link w:val="af3"/>
    <w:qFormat/>
    <w:rsid w:val="00FA1A2B"/>
    <w:pPr>
      <w:spacing w:before="120"/>
      <w:ind w:right="-36"/>
      <w:jc w:val="both"/>
    </w:pPr>
    <w:rPr>
      <w:rFonts w:ascii="Arial" w:hAnsi="Arial" w:cs="Arial"/>
      <w:sz w:val="20"/>
      <w:szCs w:val="20"/>
    </w:rPr>
  </w:style>
  <w:style w:type="paragraph" w:styleId="af4">
    <w:name w:val="footnote text"/>
    <w:basedOn w:val="a"/>
    <w:link w:val="af5"/>
    <w:rsid w:val="00FA1A2B"/>
    <w:rPr>
      <w:sz w:val="20"/>
      <w:szCs w:val="20"/>
    </w:rPr>
  </w:style>
  <w:style w:type="character" w:customStyle="1" w:styleId="af3">
    <w:name w:val="релиз Знак"/>
    <w:basedOn w:val="a0"/>
    <w:link w:val="af2"/>
    <w:rsid w:val="00FA1A2B"/>
    <w:rPr>
      <w:rFonts w:ascii="Arial" w:hAnsi="Arial" w:cs="Arial"/>
    </w:rPr>
  </w:style>
  <w:style w:type="character" w:customStyle="1" w:styleId="af5">
    <w:name w:val="Текст сноски Знак"/>
    <w:basedOn w:val="a0"/>
    <w:link w:val="af4"/>
    <w:rsid w:val="00FA1A2B"/>
  </w:style>
  <w:style w:type="character" w:styleId="af6">
    <w:name w:val="footnote reference"/>
    <w:basedOn w:val="a0"/>
    <w:rsid w:val="00FA1A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llex.ru/press-center/interaktiv-i-prezentacii/vserossijskij-konkurs-korporativnyj-kalendar-2015" TargetMode="External"/><Relationship Id="rId18" Type="http://schemas.openxmlformats.org/officeDocument/2006/relationships/hyperlink" Target="mailto:makarova@intellex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ntellex.ru/press-center/press-relizyi/2014/intelleks-avtomatiziroval-ispolnenie-dogovorov-oao-rzhd-s-klientami-po-perevozkam-gruzov-po-tverdym-nitkam-grafika?searched=&#1040;&#1057;&#1059;+&#1058;&#1054;&amp;advsearch=exactphrase&amp;highlight=ajaxSearch_highlight+ajaxSearch_highli" TargetMode="External"/><Relationship Id="rId17" Type="http://schemas.openxmlformats.org/officeDocument/2006/relationships/hyperlink" Target="mailto:makarova@intell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karova@intellex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llex.ru/press-center/interaktiv-i-prezentacii/lingurus-pomogaet-plombirovat-vago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karova@intell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ellex.ru/press-center/interaktiv-i-prezentacii/lingurus-pomogaet-plombirovat-vagony" TargetMode="External"/><Relationship Id="rId19" Type="http://schemas.openxmlformats.org/officeDocument/2006/relationships/hyperlink" Target="mailto:makarova@intell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gurus.ru" TargetMode="External"/><Relationship Id="rId14" Type="http://schemas.openxmlformats.org/officeDocument/2006/relationships/hyperlink" Target="http://www.intell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38B6-EDF8-4394-B3DC-79DF4BDB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a</Company>
  <LinksUpToDate>false</LinksUpToDate>
  <CharactersWithSpaces>6110</CharactersWithSpaces>
  <SharedDoc>false</SharedDoc>
  <HLinks>
    <vt:vector size="66" baseType="variant"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27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24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21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18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http://www.intellex.ru/</vt:lpwstr>
      </vt:variant>
      <vt:variant>
        <vt:lpwstr/>
      </vt:variant>
      <vt:variant>
        <vt:i4>7798828</vt:i4>
      </vt:variant>
      <vt:variant>
        <vt:i4>12</vt:i4>
      </vt:variant>
      <vt:variant>
        <vt:i4>0</vt:i4>
      </vt:variant>
      <vt:variant>
        <vt:i4>5</vt:i4>
      </vt:variant>
      <vt:variant>
        <vt:lpwstr>http://www.intellex.ru/press-center/interaktiv-i-prezentacii/vserossijskij-konkurs-korporativnyj-kalendar-2015</vt:lpwstr>
      </vt:variant>
      <vt:variant>
        <vt:lpwstr/>
      </vt:variant>
      <vt:variant>
        <vt:i4>68157550</vt:i4>
      </vt:variant>
      <vt:variant>
        <vt:i4>9</vt:i4>
      </vt:variant>
      <vt:variant>
        <vt:i4>0</vt:i4>
      </vt:variant>
      <vt:variant>
        <vt:i4>5</vt:i4>
      </vt:variant>
      <vt:variant>
        <vt:lpwstr>http://www.intellex.ru/press-center/press-relizyi/2014/intelleks-avtomatiziroval-ispolnenie-dogovorov-oao-rzhd-s-klientami-po-perevozkam-gruzov-po-tverdym-nitkam-grafika?searched=АСУ+ТО&amp;advsearch=exactphrase&amp;highlight=ajaxSearch_highlight+ajaxSearch_highli</vt:lpwstr>
      </vt:variant>
      <vt:variant>
        <vt:lpwstr/>
      </vt:variant>
      <vt:variant>
        <vt:i4>131081</vt:i4>
      </vt:variant>
      <vt:variant>
        <vt:i4>6</vt:i4>
      </vt:variant>
      <vt:variant>
        <vt:i4>0</vt:i4>
      </vt:variant>
      <vt:variant>
        <vt:i4>5</vt:i4>
      </vt:variant>
      <vt:variant>
        <vt:lpwstr>http://www.intellex.ru/press-center/interaktiv-i-prezentacii/lingurus-pomogaet-plombirovat-vagony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http://www.intellex.ru/press-center/interaktiv-i-prezentacii/lingurus-pomogaet-plombirovat-vagony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http://lingurus.ru/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Ольга Козлова</dc:creator>
  <cp:lastModifiedBy>Макарова Кира Сергеевна</cp:lastModifiedBy>
  <cp:revision>2</cp:revision>
  <cp:lastPrinted>2009-04-27T10:00:00Z</cp:lastPrinted>
  <dcterms:created xsi:type="dcterms:W3CDTF">2015-06-01T10:50:00Z</dcterms:created>
  <dcterms:modified xsi:type="dcterms:W3CDTF">2015-06-01T10:50:00Z</dcterms:modified>
</cp:coreProperties>
</file>