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D1" w:rsidRPr="00262EFD" w:rsidRDefault="00354FD1" w:rsidP="00262EFD">
      <w:pPr>
        <w:spacing w:after="0"/>
        <w:rPr>
          <w:rFonts w:cs="Times New Roman"/>
          <w:b/>
        </w:rPr>
      </w:pPr>
      <w:r w:rsidRPr="00262EFD">
        <w:rPr>
          <w:b/>
          <w:noProof/>
          <w:lang w:eastAsia="ru-RU"/>
        </w:rPr>
        <w:drawing>
          <wp:inline distT="0" distB="0" distL="0" distR="0" wp14:anchorId="19BC0480" wp14:editId="5D0555D3">
            <wp:extent cx="2209800" cy="797560"/>
            <wp:effectExtent l="0" t="0" r="0" b="2540"/>
            <wp:docPr id="12" name="Рисунок 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LANT_logo_onblu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D1" w:rsidRPr="00262EFD" w:rsidRDefault="00354FD1" w:rsidP="00262EFD">
      <w:pPr>
        <w:spacing w:after="0"/>
        <w:rPr>
          <w:rFonts w:cs="Times New Roman"/>
          <w:b/>
        </w:rPr>
      </w:pPr>
    </w:p>
    <w:p w:rsidR="00354FD1" w:rsidRPr="00150DC6" w:rsidRDefault="00150DC6" w:rsidP="00150DC6">
      <w:pPr>
        <w:spacing w:after="0"/>
        <w:rPr>
          <w:rFonts w:cs="Times New Roman"/>
          <w:b/>
        </w:rPr>
      </w:pPr>
      <w:r w:rsidRPr="00150DC6">
        <w:rPr>
          <w:rFonts w:cs="Times New Roman"/>
          <w:b/>
        </w:rPr>
        <w:t>НЕОЛАНТ: Упрощен процесс получения данных, необходимых для согласования схем расположения земельных участков</w:t>
      </w:r>
    </w:p>
    <w:p w:rsidR="00150DC6" w:rsidRPr="00150DC6" w:rsidRDefault="00150DC6" w:rsidP="00150DC6">
      <w:pPr>
        <w:spacing w:after="0"/>
        <w:rPr>
          <w:rFonts w:cs="Times New Roman"/>
          <w:b/>
        </w:rPr>
      </w:pP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sz w:val="22"/>
          <w:szCs w:val="22"/>
        </w:rPr>
        <w:t xml:space="preserve">В соответствии с Земельным кодексом РФ, 210-ФЗ «Об организации предоставления государственных и муниципальных услуг», 221-ФЗ «О государственном кадастре недвижимости», приказами Минэкономразвития России «Об утверждении перечня документов, подтверждающих право заявителя на приобретение земельного участка без проведения торгов» от 12.01.15 и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территории…» от 14.01.15, региональными органами исполнительной власти и органами местного самоуправления оказываются государственные и муниципальные услуги по предоставлению земельных участков, находящихся в государственной и муниципальной собственности. </w:t>
      </w: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sz w:val="22"/>
          <w:szCs w:val="22"/>
        </w:rPr>
        <w:t xml:space="preserve">Одной из составляющих такого вида услуг является согласование схем расположения земельных участков (СРЗУ). При принятии решения о возможности согласования схем, представленных гражданами или юридическими лицами, требуется проанализировать большой объем информации: </w:t>
      </w:r>
    </w:p>
    <w:p w:rsidR="00150DC6" w:rsidRPr="00150DC6" w:rsidRDefault="00150DC6" w:rsidP="00150DC6">
      <w:pPr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>Данные об утвержденных ранее СРЗУ и данные об участках, поставленных на кадастровый учет.</w:t>
      </w:r>
    </w:p>
    <w:p w:rsidR="00150DC6" w:rsidRPr="00150DC6" w:rsidRDefault="00150DC6" w:rsidP="00150DC6">
      <w:pPr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>Утвержденные проекты планировки территорий.</w:t>
      </w:r>
    </w:p>
    <w:p w:rsidR="00150DC6" w:rsidRPr="00150DC6" w:rsidRDefault="00150DC6" w:rsidP="00150DC6">
      <w:pPr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>Действующую землеустроительную документацию.</w:t>
      </w:r>
    </w:p>
    <w:p w:rsidR="00150DC6" w:rsidRPr="00150DC6" w:rsidRDefault="00150DC6" w:rsidP="00150DC6">
      <w:pPr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>Утвержденные проекты межевания территории.</w:t>
      </w:r>
    </w:p>
    <w:p w:rsidR="00150DC6" w:rsidRPr="00150DC6" w:rsidRDefault="00150DC6" w:rsidP="00150DC6">
      <w:pPr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>Сведения о правообладателях и обременении.</w:t>
      </w:r>
    </w:p>
    <w:p w:rsidR="00150DC6" w:rsidRPr="00150DC6" w:rsidRDefault="00150DC6" w:rsidP="00150DC6">
      <w:pPr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>Права заявителя.</w:t>
      </w:r>
    </w:p>
    <w:p w:rsidR="00150DC6" w:rsidRPr="00150DC6" w:rsidRDefault="00150DC6" w:rsidP="00150DC6">
      <w:pPr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>Сведения о допустимых видах использования земельного участка, ограничениях, действующих градостроительных регламентах, особо охраняемых природных территориях (ООПТ), землях лесного и водного фонда.</w:t>
      </w:r>
    </w:p>
    <w:p w:rsidR="00150DC6" w:rsidRPr="00150DC6" w:rsidRDefault="00150DC6" w:rsidP="00150DC6">
      <w:pPr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>Нахождение на земельном участке объектов капитального строительства или незавершенного строительства, находящихся в государственной или муниципальной собственности.</w:t>
      </w:r>
    </w:p>
    <w:p w:rsidR="00150DC6" w:rsidRPr="00150DC6" w:rsidRDefault="00150DC6" w:rsidP="00150DC6">
      <w:pPr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>Сведения о резервировании участка для государственных или муниципальных нужд.</w:t>
      </w:r>
    </w:p>
    <w:p w:rsidR="00150DC6" w:rsidRPr="00150DC6" w:rsidRDefault="00150DC6" w:rsidP="00150DC6">
      <w:pPr>
        <w:numPr>
          <w:ilvl w:val="0"/>
          <w:numId w:val="13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>Иные сведения, предусмотренные законодательством.</w:t>
      </w: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sz w:val="22"/>
          <w:szCs w:val="22"/>
        </w:rPr>
        <w:t>Практически все эти данные имеют пространственную привязку (т.е. могут быть представлены на карте) и содержатся в документах градостроительной деятельности. Это послужило основанием для группы компаний «НЕОЛАНТ» включить в информационно- аналитическую систему пространственного развития «Горизонт» (</w:t>
      </w:r>
      <w:hyperlink r:id="rId7" w:history="1">
        <w:r w:rsidRPr="00150DC6">
          <w:rPr>
            <w:rStyle w:val="ad"/>
            <w:rFonts w:asciiTheme="minorHAnsi" w:hAnsiTheme="minorHAnsi"/>
            <w:sz w:val="22"/>
            <w:szCs w:val="22"/>
          </w:rPr>
          <w:t>ИАС «Горизонт»</w:t>
        </w:r>
      </w:hyperlink>
      <w:r w:rsidRPr="00150DC6">
        <w:rPr>
          <w:rFonts w:asciiTheme="minorHAnsi" w:hAnsiTheme="minorHAnsi"/>
          <w:sz w:val="22"/>
          <w:szCs w:val="22"/>
        </w:rPr>
        <w:t xml:space="preserve">) функционал поддержки принятия решений при согласовании СРЗУ. </w:t>
      </w: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sz w:val="22"/>
          <w:szCs w:val="22"/>
        </w:rPr>
        <w:t xml:space="preserve">Подобное развитие ИАС «Горизонт» позволяет еще теснее увязать задачи градостроительной деятельности, управления государственным и муниципальным имуществом, получая эффект в виде значительного сокращения временных затрат и повышения качества принимаемых решений при оказании услуг гражданам и бизнесу. </w:t>
      </w:r>
    </w:p>
    <w:p w:rsid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sz w:val="22"/>
          <w:szCs w:val="22"/>
        </w:rPr>
        <w:t>В рамках совершенствования ИАС «Горизонт» в модуле «Планировка территории» были реализованы задачи:</w:t>
      </w:r>
    </w:p>
    <w:p w:rsidR="00150DC6" w:rsidRPr="00150DC6" w:rsidRDefault="00150DC6" w:rsidP="00150DC6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  <w:b/>
          <w:bCs/>
        </w:rPr>
        <w:t xml:space="preserve">Доступ к данным и графическому представлению земельных участков, </w:t>
      </w:r>
      <w:r w:rsidRPr="00150DC6">
        <w:rPr>
          <w:rFonts w:cs="Times New Roman"/>
        </w:rPr>
        <w:t xml:space="preserve">расположенных на территории региона или муниципального района. В систему загружаются сведения о земельных участках из </w:t>
      </w:r>
      <w:proofErr w:type="spellStart"/>
      <w:r w:rsidRPr="00150DC6">
        <w:rPr>
          <w:rFonts w:cs="Times New Roman"/>
        </w:rPr>
        <w:t>Росреестра</w:t>
      </w:r>
      <w:proofErr w:type="spellEnd"/>
      <w:r w:rsidRPr="00150DC6">
        <w:rPr>
          <w:rFonts w:cs="Times New Roman"/>
        </w:rPr>
        <w:t xml:space="preserve"> (например, кадастровые планы территорий), предоставляемые в виде </w:t>
      </w:r>
      <w:proofErr w:type="spellStart"/>
      <w:r w:rsidRPr="00150DC6">
        <w:rPr>
          <w:rFonts w:cs="Times New Roman"/>
        </w:rPr>
        <w:t>xml</w:t>
      </w:r>
      <w:proofErr w:type="spellEnd"/>
      <w:r w:rsidRPr="00150DC6">
        <w:rPr>
          <w:rFonts w:cs="Times New Roman"/>
        </w:rPr>
        <w:t xml:space="preserve">-файлов утвержденных форматов. При разработке задач, связанных с загрузкой-выгрузкой файлов </w:t>
      </w:r>
      <w:proofErr w:type="spellStart"/>
      <w:r w:rsidRPr="00150DC6">
        <w:rPr>
          <w:rFonts w:cs="Times New Roman"/>
        </w:rPr>
        <w:t>xml</w:t>
      </w:r>
      <w:proofErr w:type="spellEnd"/>
      <w:r w:rsidRPr="00150DC6">
        <w:rPr>
          <w:rFonts w:cs="Times New Roman"/>
        </w:rPr>
        <w:t xml:space="preserve">, реализована возможность изменения правил импорта/экспорта без переработки программного кода ИАС. Необходимость таких изменений неизбежно возникает из-за смены схем </w:t>
      </w:r>
      <w:proofErr w:type="spellStart"/>
      <w:r w:rsidRPr="00150DC6">
        <w:rPr>
          <w:rFonts w:cs="Times New Roman"/>
        </w:rPr>
        <w:t>xml</w:t>
      </w:r>
      <w:proofErr w:type="spellEnd"/>
      <w:r w:rsidRPr="00150DC6">
        <w:rPr>
          <w:rFonts w:cs="Times New Roman"/>
        </w:rPr>
        <w:t xml:space="preserve">-файлов в </w:t>
      </w:r>
      <w:proofErr w:type="spellStart"/>
      <w:r w:rsidRPr="00150DC6">
        <w:rPr>
          <w:rFonts w:cs="Times New Roman"/>
        </w:rPr>
        <w:t>Росреестре</w:t>
      </w:r>
      <w:proofErr w:type="spellEnd"/>
      <w:r w:rsidRPr="00150DC6">
        <w:rPr>
          <w:rFonts w:cs="Times New Roman"/>
        </w:rPr>
        <w:t>.</w:t>
      </w:r>
    </w:p>
    <w:p w:rsidR="00150DC6" w:rsidRPr="00150DC6" w:rsidRDefault="00150DC6" w:rsidP="00150DC6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  <w:b/>
          <w:bCs/>
        </w:rPr>
        <w:t xml:space="preserve">Регистрация заявлений </w:t>
      </w:r>
      <w:r w:rsidRPr="00150DC6">
        <w:rPr>
          <w:rFonts w:cs="Times New Roman"/>
        </w:rPr>
        <w:t xml:space="preserve">на согласование СРЗУ с комплектом сопутствующих документов, в который входит </w:t>
      </w:r>
      <w:proofErr w:type="spellStart"/>
      <w:r w:rsidRPr="00150DC6">
        <w:rPr>
          <w:rFonts w:cs="Times New Roman"/>
        </w:rPr>
        <w:t>xml</w:t>
      </w:r>
      <w:proofErr w:type="spellEnd"/>
      <w:r w:rsidRPr="00150DC6">
        <w:rPr>
          <w:rFonts w:cs="Times New Roman"/>
        </w:rPr>
        <w:t>-файл утвержденного формата (Рис. 1).</w:t>
      </w:r>
    </w:p>
    <w:p w:rsidR="00150DC6" w:rsidRPr="00150DC6" w:rsidRDefault="00150DC6" w:rsidP="00150DC6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F94A66" wp14:editId="64A7FE13">
                <wp:simplePos x="0" y="0"/>
                <wp:positionH relativeFrom="column">
                  <wp:posOffset>-32385</wp:posOffset>
                </wp:positionH>
                <wp:positionV relativeFrom="paragraph">
                  <wp:posOffset>6726555</wp:posOffset>
                </wp:positionV>
                <wp:extent cx="5940425" cy="1404620"/>
                <wp:effectExtent l="0" t="0" r="0" b="127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C6" w:rsidRPr="00150DC6" w:rsidRDefault="00150DC6" w:rsidP="00150DC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150DC6">
                              <w:rPr>
                                <w:i/>
                              </w:rPr>
                              <w:t xml:space="preserve">Рис. 2. Представление СРЗУ из </w:t>
                            </w:r>
                            <w:proofErr w:type="spellStart"/>
                            <w:r w:rsidRPr="00150DC6">
                              <w:rPr>
                                <w:i/>
                              </w:rPr>
                              <w:t>xml</w:t>
                            </w:r>
                            <w:proofErr w:type="spellEnd"/>
                            <w:r w:rsidRPr="00150DC6">
                              <w:rPr>
                                <w:i/>
                              </w:rPr>
                              <w:t>-файлов на карте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F94A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55pt;margin-top:529.65pt;width:46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" filled="f" stroked="f">
                <v:textbox style="mso-fit-shape-to-text:t">
                  <w:txbxContent>
                    <w:p w:rsidR="00150DC6" w:rsidRPr="00150DC6" w:rsidRDefault="00150DC6" w:rsidP="00150DC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150DC6">
                        <w:rPr>
                          <w:i/>
                        </w:rPr>
                        <w:t xml:space="preserve">Рис. 2. Представление СРЗУ из </w:t>
                      </w:r>
                      <w:proofErr w:type="spellStart"/>
                      <w:r w:rsidRPr="00150DC6">
                        <w:rPr>
                          <w:i/>
                        </w:rPr>
                        <w:t>xml</w:t>
                      </w:r>
                      <w:proofErr w:type="spellEnd"/>
                      <w:r w:rsidRPr="00150DC6">
                        <w:rPr>
                          <w:i/>
                        </w:rPr>
                        <w:t>-файлов на карте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D3A6DCE" wp14:editId="7593599D">
            <wp:simplePos x="0" y="0"/>
            <wp:positionH relativeFrom="column">
              <wp:posOffset>-32385</wp:posOffset>
            </wp:positionH>
            <wp:positionV relativeFrom="paragraph">
              <wp:posOffset>3698240</wp:posOffset>
            </wp:positionV>
            <wp:extent cx="5940425" cy="2988310"/>
            <wp:effectExtent l="0" t="0" r="3175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DC6">
        <w:rPr>
          <w:rFonts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B5B3BE" wp14:editId="2DBD6028">
                <wp:simplePos x="0" y="0"/>
                <wp:positionH relativeFrom="column">
                  <wp:posOffset>-33020</wp:posOffset>
                </wp:positionH>
                <wp:positionV relativeFrom="paragraph">
                  <wp:posOffset>3409315</wp:posOffset>
                </wp:positionV>
                <wp:extent cx="5940425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C6" w:rsidRPr="00150DC6" w:rsidRDefault="00150DC6" w:rsidP="00150DC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150DC6">
                              <w:rPr>
                                <w:i/>
                              </w:rPr>
                              <w:t>Р</w:t>
                            </w:r>
                            <w:r w:rsidRPr="00150DC6">
                              <w:rPr>
                                <w:i/>
                              </w:rPr>
                              <w:t>ис. 1. Работа с заявлениями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5B3BE" id="_x0000_s1027" type="#_x0000_t202" style="position:absolute;left:0;text-align:left;margin-left:-2.6pt;margin-top:268.45pt;width:46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" filled="f" stroked="f">
                <v:textbox style="mso-fit-shape-to-text:t">
                  <w:txbxContent>
                    <w:p w:rsidR="00150DC6" w:rsidRPr="00150DC6" w:rsidRDefault="00150DC6" w:rsidP="00150DC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150DC6">
                        <w:rPr>
                          <w:i/>
                        </w:rPr>
                        <w:t>Р</w:t>
                      </w:r>
                      <w:r w:rsidRPr="00150DC6">
                        <w:rPr>
                          <w:i/>
                        </w:rPr>
                        <w:t>ис. 1. Работа с заявлениями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1EBA18" wp14:editId="16D60336">
            <wp:simplePos x="0" y="0"/>
            <wp:positionH relativeFrom="column">
              <wp:posOffset>-32385</wp:posOffset>
            </wp:positionH>
            <wp:positionV relativeFrom="paragraph">
              <wp:posOffset>407670</wp:posOffset>
            </wp:positionV>
            <wp:extent cx="5940425" cy="2988310"/>
            <wp:effectExtent l="0" t="0" r="3175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DC6">
        <w:rPr>
          <w:rFonts w:cs="Times New Roman"/>
          <w:b/>
          <w:bCs/>
        </w:rPr>
        <w:t xml:space="preserve">Предварительный просмотр сведений и границ планируемых земельных участков на карте, </w:t>
      </w:r>
      <w:r w:rsidRPr="00150DC6">
        <w:rPr>
          <w:rFonts w:cs="Times New Roman"/>
        </w:rPr>
        <w:t xml:space="preserve">подгружаемых одним «кликом» из </w:t>
      </w:r>
      <w:proofErr w:type="spellStart"/>
      <w:r w:rsidRPr="00150DC6">
        <w:rPr>
          <w:rFonts w:cs="Times New Roman"/>
        </w:rPr>
        <w:t>xml</w:t>
      </w:r>
      <w:proofErr w:type="spellEnd"/>
      <w:r w:rsidRPr="00150DC6">
        <w:rPr>
          <w:rFonts w:cs="Times New Roman"/>
        </w:rPr>
        <w:t>-файла в составе заявления (Рис. 2).</w:t>
      </w:r>
    </w:p>
    <w:p w:rsidR="00150DC6" w:rsidRPr="00150DC6" w:rsidRDefault="00150DC6" w:rsidP="00150DC6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42C18F" wp14:editId="4D0884B5">
                <wp:simplePos x="0" y="0"/>
                <wp:positionH relativeFrom="column">
                  <wp:posOffset>28575</wp:posOffset>
                </wp:positionH>
                <wp:positionV relativeFrom="paragraph">
                  <wp:posOffset>2948305</wp:posOffset>
                </wp:positionV>
                <wp:extent cx="5940425" cy="1404620"/>
                <wp:effectExtent l="0" t="0" r="0" b="127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DC6" w:rsidRPr="00150DC6" w:rsidRDefault="00150DC6" w:rsidP="00150DC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150DC6">
                              <w:rPr>
                                <w:i/>
                              </w:rPr>
                              <w:t xml:space="preserve">Рис. 3. Сформированный </w:t>
                            </w:r>
                            <w:proofErr w:type="spellStart"/>
                            <w:r w:rsidRPr="00150DC6">
                              <w:rPr>
                                <w:i/>
                              </w:rPr>
                              <w:t>xml</w:t>
                            </w:r>
                            <w:proofErr w:type="spellEnd"/>
                            <w:r w:rsidRPr="00150DC6">
                              <w:rPr>
                                <w:i/>
                              </w:rPr>
                              <w:t>-файл с решением о согласовании прикрепленный к ответу по заявке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42C18F" id="_x0000_s1028" type="#_x0000_t202" style="position:absolute;left:0;text-align:left;margin-left:2.25pt;margin-top:232.15pt;width:467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" filled="f" stroked="f">
                <v:textbox style="mso-fit-shape-to-text:t">
                  <w:txbxContent>
                    <w:p w:rsidR="00150DC6" w:rsidRPr="00150DC6" w:rsidRDefault="00150DC6" w:rsidP="00150DC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150DC6">
                        <w:rPr>
                          <w:i/>
                        </w:rPr>
                        <w:t xml:space="preserve">Рис. 3. Сформированный </w:t>
                      </w:r>
                      <w:proofErr w:type="spellStart"/>
                      <w:r w:rsidRPr="00150DC6">
                        <w:rPr>
                          <w:i/>
                        </w:rPr>
                        <w:t>xml</w:t>
                      </w:r>
                      <w:proofErr w:type="spellEnd"/>
                      <w:r w:rsidRPr="00150DC6">
                        <w:rPr>
                          <w:i/>
                        </w:rPr>
                        <w:t>-файл с решением о согласовании прикрепленный к ответу по заявке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imes New Roman"/>
          <w:b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57A4ABA" wp14:editId="1F91A78D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5940425" cy="2952115"/>
            <wp:effectExtent l="0" t="0" r="3175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DC6">
        <w:rPr>
          <w:rFonts w:cs="Times New Roman"/>
          <w:b/>
          <w:bCs/>
        </w:rPr>
        <w:t xml:space="preserve">Предоставление дополнительной информации </w:t>
      </w:r>
      <w:r w:rsidRPr="00150DC6">
        <w:rPr>
          <w:rFonts w:cs="Times New Roman"/>
        </w:rPr>
        <w:t>по анализируемой территории из документов градостроительной деятельности, загруженных в ИСОГД, и картографических материалов, зарегистрированных в ИАС (например, слои согласованных ранее СРЗУ и ЗУ, поставленных на кадастровый учет, размещения объектов капитального строительства государственной или муниципальной собственности, ООПТ и т.п.).</w:t>
      </w:r>
    </w:p>
    <w:p w:rsidR="00150DC6" w:rsidRPr="00150DC6" w:rsidRDefault="00150DC6" w:rsidP="00150DC6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  <w:b/>
          <w:bCs/>
        </w:rPr>
        <w:t xml:space="preserve">Подготовка проектов решений по заявлениям на базе шаблонов. </w:t>
      </w:r>
      <w:r w:rsidRPr="00150DC6">
        <w:rPr>
          <w:rFonts w:cs="Times New Roman"/>
        </w:rPr>
        <w:t xml:space="preserve">При положительном решении – данные согласованных СРЗУ добавляются в соответствующий слой и в реестр проектируемых земельных участков. Решение о согласовании вносится в </w:t>
      </w:r>
      <w:proofErr w:type="spellStart"/>
      <w:r w:rsidRPr="00150DC6">
        <w:rPr>
          <w:rFonts w:cs="Times New Roman"/>
        </w:rPr>
        <w:t>xml</w:t>
      </w:r>
      <w:proofErr w:type="spellEnd"/>
      <w:r w:rsidRPr="00150DC6">
        <w:rPr>
          <w:rFonts w:cs="Times New Roman"/>
        </w:rPr>
        <w:t xml:space="preserve">-файл, который входит в состав документов ответа заявитель (Рис. 3). </w:t>
      </w:r>
    </w:p>
    <w:p w:rsidR="00150DC6" w:rsidRPr="00150DC6" w:rsidRDefault="00150DC6" w:rsidP="00150DC6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  <w:b/>
          <w:bCs/>
        </w:rPr>
        <w:t xml:space="preserve">Учет и мониторинг всех проектируемых ЗУ в отдельном </w:t>
      </w:r>
      <w:proofErr w:type="spellStart"/>
      <w:r w:rsidRPr="00150DC6">
        <w:rPr>
          <w:rFonts w:cs="Times New Roman"/>
          <w:b/>
          <w:bCs/>
        </w:rPr>
        <w:t>реестре</w:t>
      </w:r>
      <w:r w:rsidRPr="00150DC6">
        <w:rPr>
          <w:rFonts w:cs="Times New Roman"/>
        </w:rPr>
        <w:t>с</w:t>
      </w:r>
      <w:proofErr w:type="spellEnd"/>
      <w:r w:rsidRPr="00150DC6">
        <w:rPr>
          <w:rFonts w:cs="Times New Roman"/>
        </w:rPr>
        <w:t xml:space="preserve"> возможностью просмотра сведений об участке, о СРЗУ, заявке, сроках действия утвержденной СРЗУ, а также просмотра проектных ЗУ на карте.</w:t>
      </w:r>
    </w:p>
    <w:p w:rsidR="00150DC6" w:rsidRPr="00150DC6" w:rsidRDefault="00150DC6" w:rsidP="00150DC6">
      <w:pPr>
        <w:spacing w:after="0" w:line="240" w:lineRule="auto"/>
        <w:ind w:left="720"/>
        <w:rPr>
          <w:rFonts w:cs="Times New Roman"/>
        </w:rPr>
      </w:pPr>
    </w:p>
    <w:p w:rsidR="00150DC6" w:rsidRPr="00150DC6" w:rsidRDefault="00150DC6" w:rsidP="00150DC6">
      <w:pPr>
        <w:pStyle w:val="ae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b/>
          <w:bCs/>
          <w:sz w:val="22"/>
          <w:szCs w:val="22"/>
        </w:rPr>
        <w:t>***</w:t>
      </w: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b/>
          <w:bCs/>
          <w:sz w:val="22"/>
          <w:szCs w:val="22"/>
        </w:rPr>
        <w:t>Для того чтобы заказать:</w:t>
      </w:r>
    </w:p>
    <w:p w:rsidR="00150DC6" w:rsidRPr="00150DC6" w:rsidRDefault="00150DC6" w:rsidP="00150DC6">
      <w:pPr>
        <w:numPr>
          <w:ilvl w:val="0"/>
          <w:numId w:val="15"/>
        </w:numPr>
        <w:spacing w:after="0" w:line="240" w:lineRule="auto"/>
        <w:rPr>
          <w:rFonts w:cs="Times New Roman"/>
        </w:rPr>
      </w:pPr>
      <w:hyperlink r:id="rId11" w:history="1">
        <w:r w:rsidRPr="00150DC6">
          <w:rPr>
            <w:rStyle w:val="ad"/>
            <w:rFonts w:cs="Times New Roman"/>
          </w:rPr>
          <w:t xml:space="preserve">удаленную </w:t>
        </w:r>
        <w:r w:rsidRPr="00150DC6">
          <w:rPr>
            <w:rStyle w:val="ad"/>
            <w:rFonts w:cs="Times New Roman"/>
            <w:b/>
            <w:bCs/>
          </w:rPr>
          <w:t>демонстрацию</w:t>
        </w:r>
      </w:hyperlink>
      <w:r w:rsidRPr="00150DC6">
        <w:rPr>
          <w:rFonts w:cs="Times New Roman"/>
        </w:rPr>
        <w:t>, на которой вы сможете задать все интересующие вопросы о возможностях системы в режиме онлайн;</w:t>
      </w:r>
    </w:p>
    <w:p w:rsidR="00150DC6" w:rsidRPr="00150DC6" w:rsidRDefault="00150DC6" w:rsidP="00150DC6">
      <w:pPr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</w:rPr>
        <w:t xml:space="preserve">тестовый </w:t>
      </w:r>
      <w:r w:rsidRPr="00150DC6">
        <w:rPr>
          <w:rFonts w:cs="Times New Roman"/>
          <w:b/>
          <w:bCs/>
        </w:rPr>
        <w:t>доступ</w:t>
      </w:r>
      <w:r w:rsidRPr="00150DC6">
        <w:rPr>
          <w:rFonts w:cs="Times New Roman"/>
        </w:rPr>
        <w:t xml:space="preserve"> для знакомства с возможностями системы со своего рабочего места;</w:t>
      </w:r>
    </w:p>
    <w:p w:rsidR="00150DC6" w:rsidRPr="00150DC6" w:rsidRDefault="00150DC6" w:rsidP="00150DC6">
      <w:pPr>
        <w:numPr>
          <w:ilvl w:val="0"/>
          <w:numId w:val="15"/>
        </w:numPr>
        <w:spacing w:after="0" w:line="240" w:lineRule="auto"/>
        <w:rPr>
          <w:rFonts w:cs="Times New Roman"/>
        </w:rPr>
      </w:pPr>
      <w:r w:rsidRPr="00150DC6">
        <w:rPr>
          <w:rFonts w:cs="Times New Roman"/>
          <w:b/>
          <w:bCs/>
        </w:rPr>
        <w:t>консультацию</w:t>
      </w:r>
      <w:r w:rsidRPr="00150DC6">
        <w:rPr>
          <w:rFonts w:cs="Times New Roman"/>
        </w:rPr>
        <w:t xml:space="preserve"> вариантах внедрения решений от «НЕОЛАНТ»,</w:t>
      </w:r>
    </w:p>
    <w:p w:rsidR="00150DC6" w:rsidRPr="00150DC6" w:rsidRDefault="00150DC6" w:rsidP="00150DC6">
      <w:pPr>
        <w:pStyle w:val="ae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sz w:val="22"/>
          <w:szCs w:val="22"/>
        </w:rPr>
        <w:t>обращайтесь к Сорокиной Марии, специалисту по работе с госсектором:</w:t>
      </w:r>
    </w:p>
    <w:p w:rsidR="00150DC6" w:rsidRPr="00150DC6" w:rsidRDefault="00150DC6" w:rsidP="00150DC6">
      <w:pPr>
        <w:pStyle w:val="ae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sz w:val="22"/>
          <w:szCs w:val="22"/>
        </w:rPr>
        <w:t>Тел./Факс: +7 (499) 999 0000 *174</w:t>
      </w:r>
      <w:r w:rsidRPr="00150DC6">
        <w:rPr>
          <w:rFonts w:asciiTheme="minorHAnsi" w:hAnsiTheme="minorHAnsi"/>
          <w:sz w:val="22"/>
          <w:szCs w:val="22"/>
        </w:rPr>
        <w:br/>
      </w:r>
      <w:proofErr w:type="gramStart"/>
      <w:r w:rsidRPr="00150DC6">
        <w:rPr>
          <w:rFonts w:asciiTheme="minorHAnsi" w:hAnsiTheme="minorHAnsi"/>
          <w:sz w:val="22"/>
          <w:szCs w:val="22"/>
        </w:rPr>
        <w:t>Моб.:</w:t>
      </w:r>
      <w:proofErr w:type="gramEnd"/>
      <w:r w:rsidRPr="00150DC6">
        <w:rPr>
          <w:rFonts w:asciiTheme="minorHAnsi" w:hAnsiTheme="minorHAnsi"/>
          <w:sz w:val="22"/>
          <w:szCs w:val="22"/>
        </w:rPr>
        <w:t xml:space="preserve"> +7 (985) 454 1360</w:t>
      </w:r>
      <w:r w:rsidRPr="00150DC6">
        <w:rPr>
          <w:rFonts w:asciiTheme="minorHAnsi" w:hAnsiTheme="minorHAnsi"/>
          <w:sz w:val="22"/>
          <w:szCs w:val="22"/>
        </w:rPr>
        <w:br/>
      </w:r>
      <w:hyperlink r:id="rId12" w:history="1">
        <w:r w:rsidRPr="00150DC6">
          <w:rPr>
            <w:rStyle w:val="ad"/>
            <w:rFonts w:asciiTheme="minorHAnsi" w:hAnsiTheme="minorHAnsi"/>
            <w:sz w:val="22"/>
            <w:szCs w:val="22"/>
          </w:rPr>
          <w:t xml:space="preserve">sorokina@neolant.ru </w:t>
        </w:r>
      </w:hyperlink>
    </w:p>
    <w:p w:rsidR="00150DC6" w:rsidRPr="00150DC6" w:rsidRDefault="00150DC6" w:rsidP="00150DC6">
      <w:pPr>
        <w:pStyle w:val="ae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50DC6" w:rsidRPr="00150DC6" w:rsidRDefault="00150DC6" w:rsidP="00150DC6">
      <w:pPr>
        <w:pStyle w:val="ae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b/>
          <w:bCs/>
          <w:sz w:val="22"/>
          <w:szCs w:val="22"/>
        </w:rPr>
        <w:t>***</w:t>
      </w: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50DC6">
        <w:rPr>
          <w:rFonts w:asciiTheme="minorHAnsi" w:hAnsiTheme="minorHAnsi"/>
          <w:b/>
          <w:bCs/>
          <w:i/>
          <w:iCs/>
          <w:sz w:val="22"/>
          <w:szCs w:val="22"/>
        </w:rPr>
        <w:t xml:space="preserve">Всегда свежие и актуальные новости информатизации регионов – </w:t>
      </w:r>
      <w:hyperlink r:id="rId13" w:tgtFrame="_blank" w:history="1">
        <w:r w:rsidRPr="00150DC6">
          <w:rPr>
            <w:rStyle w:val="ad"/>
            <w:rFonts w:asciiTheme="minorHAnsi" w:hAnsiTheme="minorHAnsi"/>
            <w:b/>
            <w:bCs/>
            <w:i/>
            <w:iCs/>
            <w:sz w:val="22"/>
            <w:szCs w:val="22"/>
          </w:rPr>
          <w:t>it-region.lj.ru</w:t>
        </w:r>
      </w:hyperlink>
    </w:p>
    <w:p w:rsidR="00262EFD" w:rsidRDefault="00262EFD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50DC6" w:rsidRPr="00150DC6" w:rsidRDefault="00150DC6" w:rsidP="00150DC6">
      <w:pPr>
        <w:pStyle w:val="ae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E01CC" w:rsidRPr="00262EFD" w:rsidRDefault="00CE01CC" w:rsidP="00262EFD">
      <w:pPr>
        <w:spacing w:after="0"/>
        <w:jc w:val="both"/>
      </w:pPr>
    </w:p>
    <w:p w:rsidR="00CE01CC" w:rsidRPr="00262EFD" w:rsidRDefault="00CE01CC" w:rsidP="00262EFD">
      <w:pPr>
        <w:spacing w:after="0"/>
        <w:jc w:val="both"/>
        <w:rPr>
          <w:rFonts w:cs="Times New Roman"/>
          <w:b/>
          <w:sz w:val="21"/>
          <w:szCs w:val="21"/>
        </w:rPr>
      </w:pPr>
      <w:r w:rsidRPr="00262EFD">
        <w:rPr>
          <w:rFonts w:cs="Times New Roman"/>
          <w:b/>
          <w:sz w:val="21"/>
          <w:szCs w:val="21"/>
        </w:rPr>
        <w:t>Контакты для прессы: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Сорокина Мария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Руководитель PR-группы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Департамент маркетинга. PR-группа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АО «НЕОЛАНТ»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r w:rsidRPr="00262EFD">
        <w:rPr>
          <w:rFonts w:cs="Times New Roman"/>
          <w:sz w:val="21"/>
          <w:szCs w:val="21"/>
        </w:rPr>
        <w:t>Тел./факс: +7 (499) 999 0000 *174</w:t>
      </w:r>
    </w:p>
    <w:p w:rsidR="00CE01CC" w:rsidRPr="00262EFD" w:rsidRDefault="00CE01CC" w:rsidP="00262EFD">
      <w:pPr>
        <w:spacing w:after="0"/>
        <w:jc w:val="both"/>
        <w:rPr>
          <w:rFonts w:cs="Times New Roman"/>
          <w:sz w:val="21"/>
          <w:szCs w:val="21"/>
        </w:rPr>
      </w:pPr>
      <w:proofErr w:type="gramStart"/>
      <w:r w:rsidRPr="00262EFD">
        <w:rPr>
          <w:rFonts w:cs="Times New Roman"/>
          <w:sz w:val="21"/>
          <w:szCs w:val="21"/>
        </w:rPr>
        <w:t>Моб.:</w:t>
      </w:r>
      <w:proofErr w:type="gramEnd"/>
      <w:r w:rsidRPr="00262EFD">
        <w:rPr>
          <w:rFonts w:cs="Times New Roman"/>
          <w:sz w:val="21"/>
          <w:szCs w:val="21"/>
        </w:rPr>
        <w:t xml:space="preserve"> +7 (985) 454-13-60</w:t>
      </w:r>
    </w:p>
    <w:p w:rsidR="00CE01CC" w:rsidRPr="00262EFD" w:rsidRDefault="00150DC6" w:rsidP="00262EFD">
      <w:pPr>
        <w:spacing w:after="0"/>
        <w:jc w:val="both"/>
        <w:rPr>
          <w:rFonts w:cs="Times New Roman"/>
          <w:sz w:val="21"/>
          <w:szCs w:val="21"/>
        </w:rPr>
      </w:pPr>
      <w:hyperlink r:id="rId14" w:history="1">
        <w:r w:rsidR="00CE01CC" w:rsidRPr="00262EFD">
          <w:rPr>
            <w:rStyle w:val="ad"/>
            <w:rFonts w:cs="Times New Roman"/>
            <w:sz w:val="21"/>
            <w:szCs w:val="21"/>
          </w:rPr>
          <w:t>sorokina@neolant.ru</w:t>
        </w:r>
      </w:hyperlink>
      <w:r w:rsidR="00CE01CC" w:rsidRPr="00262EFD">
        <w:rPr>
          <w:rFonts w:cs="Times New Roman"/>
          <w:sz w:val="21"/>
          <w:szCs w:val="21"/>
        </w:rPr>
        <w:t xml:space="preserve"> </w:t>
      </w:r>
    </w:p>
    <w:p w:rsidR="002B153A" w:rsidRPr="00262EFD" w:rsidRDefault="00150DC6" w:rsidP="00262EFD">
      <w:pPr>
        <w:spacing w:after="0"/>
        <w:jc w:val="both"/>
        <w:rPr>
          <w:rStyle w:val="ad"/>
          <w:rFonts w:cs="Times New Roman"/>
          <w:sz w:val="21"/>
          <w:szCs w:val="21"/>
        </w:rPr>
      </w:pPr>
      <w:hyperlink r:id="rId15" w:history="1">
        <w:r w:rsidR="00CE01CC" w:rsidRPr="00262EFD">
          <w:rPr>
            <w:rStyle w:val="ad"/>
            <w:rFonts w:cs="Times New Roman"/>
            <w:sz w:val="21"/>
            <w:szCs w:val="21"/>
          </w:rPr>
          <w:t>www.neolant.ru</w:t>
        </w:r>
      </w:hyperlink>
    </w:p>
    <w:p w:rsidR="0071042D" w:rsidRPr="00262EFD" w:rsidRDefault="0071042D" w:rsidP="00262EFD">
      <w:pPr>
        <w:spacing w:after="0"/>
        <w:jc w:val="both"/>
        <w:rPr>
          <w:rStyle w:val="ad"/>
          <w:rFonts w:cs="Times New Roman"/>
          <w:sz w:val="21"/>
          <w:szCs w:val="21"/>
        </w:rPr>
      </w:pPr>
    </w:p>
    <w:p w:rsidR="0071042D" w:rsidRPr="00262EFD" w:rsidRDefault="0071042D" w:rsidP="00262EFD">
      <w:pPr>
        <w:spacing w:after="0" w:line="240" w:lineRule="auto"/>
        <w:rPr>
          <w:b/>
          <w:bCs/>
          <w:noProof/>
          <w:sz w:val="21"/>
          <w:szCs w:val="21"/>
        </w:rPr>
      </w:pPr>
      <w:r w:rsidRPr="00262EFD">
        <w:rPr>
          <w:b/>
          <w:bCs/>
          <w:noProof/>
          <w:sz w:val="21"/>
          <w:szCs w:val="21"/>
        </w:rPr>
        <w:t>О группе компаний</w:t>
      </w:r>
      <w:r w:rsidRPr="00262EFD">
        <w:rPr>
          <w:bCs/>
          <w:noProof/>
          <w:sz w:val="21"/>
          <w:szCs w:val="21"/>
        </w:rPr>
        <w:t xml:space="preserve"> </w:t>
      </w:r>
      <w:r w:rsidRPr="00262EFD">
        <w:rPr>
          <w:b/>
          <w:bCs/>
          <w:noProof/>
          <w:sz w:val="21"/>
          <w:szCs w:val="21"/>
        </w:rPr>
        <w:t>«НЕОЛАНТ»</w:t>
      </w: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sz w:val="21"/>
          <w:szCs w:val="21"/>
        </w:rPr>
        <w:t xml:space="preserve">Группа компаний «НЕОЛАНТ» (Россия) осуществляет комплексную поддержку </w:t>
      </w:r>
      <w:hyperlink r:id="rId16" w:history="1">
        <w:r w:rsidRPr="00262EFD">
          <w:rPr>
            <w:rStyle w:val="ad"/>
            <w:sz w:val="21"/>
            <w:szCs w:val="21"/>
          </w:rPr>
          <w:t>управления регионами</w:t>
        </w:r>
      </w:hyperlink>
      <w:r w:rsidRPr="00262EFD">
        <w:rPr>
          <w:sz w:val="21"/>
          <w:szCs w:val="21"/>
        </w:rPr>
        <w:t xml:space="preserve"> и промышленными предприятиями в России и мире и предоставляет услуги </w:t>
      </w:r>
      <w:r w:rsidRPr="00262EFD">
        <w:rPr>
          <w:i/>
          <w:iCs/>
          <w:sz w:val="21"/>
          <w:szCs w:val="21"/>
        </w:rPr>
        <w:t>по направлениям</w:t>
      </w:r>
      <w:r w:rsidRPr="00262EFD">
        <w:rPr>
          <w:sz w:val="21"/>
          <w:szCs w:val="21"/>
        </w:rPr>
        <w:t>:</w:t>
      </w:r>
    </w:p>
    <w:p w:rsidR="0071042D" w:rsidRPr="00262EFD" w:rsidRDefault="00150DC6" w:rsidP="00262EFD">
      <w:pPr>
        <w:pStyle w:val="a3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hyperlink r:id="rId17" w:history="1">
        <w:r w:rsidR="0071042D" w:rsidRPr="00262EFD">
          <w:rPr>
            <w:rStyle w:val="ad"/>
            <w:sz w:val="21"/>
            <w:szCs w:val="21"/>
          </w:rPr>
          <w:t>Цифровой инжиниринг</w:t>
        </w:r>
      </w:hyperlink>
      <w:r w:rsidR="0071042D" w:rsidRPr="00262EFD">
        <w:rPr>
          <w:sz w:val="21"/>
          <w:szCs w:val="21"/>
        </w:rPr>
        <w:t>: проектирование/ сооружение, конструирование/ изготовление.</w:t>
      </w:r>
    </w:p>
    <w:p w:rsidR="0071042D" w:rsidRPr="00262EFD" w:rsidRDefault="00150DC6" w:rsidP="00262EFD">
      <w:pPr>
        <w:pStyle w:val="a3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hyperlink r:id="rId18" w:history="1">
        <w:r w:rsidR="0071042D" w:rsidRPr="00262EFD">
          <w:rPr>
            <w:rStyle w:val="ad"/>
            <w:sz w:val="21"/>
            <w:szCs w:val="21"/>
          </w:rPr>
          <w:t>Разработка государственных и корпоративных информационных систем на заказ</w:t>
        </w:r>
      </w:hyperlink>
      <w:r w:rsidR="0071042D" w:rsidRPr="00262EFD">
        <w:rPr>
          <w:sz w:val="21"/>
          <w:szCs w:val="21"/>
        </w:rPr>
        <w:t>: мониторинг, анализ, прогнозирование.</w:t>
      </w:r>
    </w:p>
    <w:p w:rsidR="0071042D" w:rsidRPr="00262EFD" w:rsidRDefault="00150DC6" w:rsidP="00262EFD">
      <w:pPr>
        <w:pStyle w:val="a3"/>
        <w:numPr>
          <w:ilvl w:val="0"/>
          <w:numId w:val="10"/>
        </w:numPr>
        <w:spacing w:after="0" w:line="240" w:lineRule="auto"/>
        <w:rPr>
          <w:sz w:val="21"/>
          <w:szCs w:val="21"/>
        </w:rPr>
      </w:pPr>
      <w:hyperlink r:id="rId19" w:history="1">
        <w:r w:rsidR="0071042D" w:rsidRPr="00262EFD">
          <w:rPr>
            <w:rStyle w:val="ad"/>
            <w:sz w:val="21"/>
            <w:szCs w:val="21"/>
          </w:rPr>
          <w:t>Информационное и имитационное моделирование</w:t>
        </w:r>
      </w:hyperlink>
      <w:r w:rsidR="0071042D" w:rsidRPr="00262EFD">
        <w:rPr>
          <w:sz w:val="21"/>
          <w:szCs w:val="21"/>
        </w:rPr>
        <w:t xml:space="preserve"> территорий и предприятий.</w:t>
      </w:r>
    </w:p>
    <w:p w:rsidR="0071042D" w:rsidRPr="00262EFD" w:rsidRDefault="0071042D" w:rsidP="00262EFD">
      <w:pPr>
        <w:spacing w:after="0"/>
        <w:ind w:firstLine="709"/>
        <w:rPr>
          <w:sz w:val="21"/>
          <w:szCs w:val="21"/>
        </w:rPr>
      </w:pP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sz w:val="21"/>
          <w:szCs w:val="21"/>
        </w:rPr>
        <w:t xml:space="preserve">При выполнении проектов «НЕОЛАНТ» применяет </w:t>
      </w:r>
      <w:r w:rsidRPr="00262EFD">
        <w:rPr>
          <w:b/>
          <w:bCs/>
          <w:sz w:val="21"/>
          <w:szCs w:val="21"/>
        </w:rPr>
        <w:t xml:space="preserve">технологии </w:t>
      </w:r>
      <w:r w:rsidRPr="00262EFD">
        <w:rPr>
          <w:sz w:val="21"/>
          <w:szCs w:val="21"/>
        </w:rPr>
        <w:t xml:space="preserve">как собственной разработки, так и на базе сторонних </w:t>
      </w:r>
      <w:hyperlink r:id="rId20" w:history="1">
        <w:proofErr w:type="spellStart"/>
        <w:r w:rsidRPr="00262EFD">
          <w:rPr>
            <w:rStyle w:val="ad"/>
            <w:sz w:val="21"/>
            <w:szCs w:val="21"/>
          </w:rPr>
          <w:t>вендоров</w:t>
        </w:r>
        <w:proofErr w:type="spellEnd"/>
      </w:hyperlink>
      <w:r w:rsidRPr="00262EFD">
        <w:rPr>
          <w:sz w:val="21"/>
          <w:szCs w:val="21"/>
        </w:rPr>
        <w:t xml:space="preserve">: </w:t>
      </w:r>
      <w:hyperlink r:id="rId21" w:history="1">
        <w:r w:rsidRPr="00262EFD">
          <w:rPr>
            <w:rStyle w:val="ad"/>
            <w:sz w:val="21"/>
            <w:szCs w:val="21"/>
          </w:rPr>
          <w:t>информационные модели</w:t>
        </w:r>
      </w:hyperlink>
      <w:r w:rsidRPr="00262EFD">
        <w:rPr>
          <w:sz w:val="21"/>
          <w:szCs w:val="21"/>
        </w:rPr>
        <w:t xml:space="preserve">; </w:t>
      </w:r>
      <w:hyperlink r:id="rId22" w:history="1">
        <w:r w:rsidRPr="00262EFD">
          <w:rPr>
            <w:rStyle w:val="ad"/>
            <w:sz w:val="21"/>
            <w:szCs w:val="21"/>
          </w:rPr>
          <w:t>PLM</w:t>
        </w:r>
      </w:hyperlink>
      <w:r w:rsidRPr="00262EFD">
        <w:rPr>
          <w:sz w:val="21"/>
          <w:szCs w:val="21"/>
        </w:rPr>
        <w:t xml:space="preserve">; </w:t>
      </w:r>
      <w:hyperlink r:id="rId23" w:history="1">
        <w:r w:rsidRPr="00262EFD">
          <w:rPr>
            <w:rStyle w:val="ad"/>
            <w:sz w:val="21"/>
            <w:szCs w:val="21"/>
          </w:rPr>
          <w:t>ГИС</w:t>
        </w:r>
      </w:hyperlink>
      <w:r w:rsidRPr="00262EFD">
        <w:rPr>
          <w:sz w:val="21"/>
          <w:szCs w:val="21"/>
        </w:rPr>
        <w:t xml:space="preserve">; </w:t>
      </w:r>
      <w:hyperlink r:id="rId24" w:history="1">
        <w:r w:rsidRPr="00262EFD">
          <w:rPr>
            <w:rStyle w:val="ad"/>
            <w:sz w:val="21"/>
            <w:szCs w:val="21"/>
          </w:rPr>
          <w:t>CAD</w:t>
        </w:r>
      </w:hyperlink>
      <w:r w:rsidRPr="00262EFD">
        <w:rPr>
          <w:sz w:val="21"/>
          <w:szCs w:val="21"/>
        </w:rPr>
        <w:t>/</w:t>
      </w:r>
      <w:hyperlink r:id="rId25" w:history="1">
        <w:r w:rsidRPr="00262EFD">
          <w:rPr>
            <w:rStyle w:val="ad"/>
            <w:sz w:val="21"/>
            <w:szCs w:val="21"/>
          </w:rPr>
          <w:t>PDM</w:t>
        </w:r>
      </w:hyperlink>
      <w:r w:rsidRPr="00262EFD">
        <w:rPr>
          <w:sz w:val="21"/>
          <w:szCs w:val="21"/>
        </w:rPr>
        <w:t xml:space="preserve">; </w:t>
      </w:r>
      <w:hyperlink r:id="rId26" w:history="1">
        <w:r w:rsidRPr="00262EFD">
          <w:rPr>
            <w:rStyle w:val="ad"/>
            <w:sz w:val="21"/>
            <w:szCs w:val="21"/>
          </w:rPr>
          <w:t>PM</w:t>
        </w:r>
      </w:hyperlink>
      <w:r w:rsidRPr="00262EFD">
        <w:rPr>
          <w:sz w:val="21"/>
          <w:szCs w:val="21"/>
        </w:rPr>
        <w:t xml:space="preserve">. Специалисты компании осуществляют </w:t>
      </w:r>
      <w:hyperlink r:id="rId27" w:history="1">
        <w:r w:rsidRPr="00262EFD">
          <w:rPr>
            <w:rStyle w:val="ad"/>
            <w:b/>
            <w:bCs/>
            <w:sz w:val="21"/>
            <w:szCs w:val="21"/>
          </w:rPr>
          <w:t>интеграцию</w:t>
        </w:r>
      </w:hyperlink>
      <w:r w:rsidRPr="00262EFD">
        <w:rPr>
          <w:sz w:val="21"/>
          <w:szCs w:val="21"/>
        </w:rPr>
        <w:t xml:space="preserve"> этих систем как между собой, так и с другими типами информационных систем, работающих у заказчика.</w:t>
      </w:r>
    </w:p>
    <w:p w:rsidR="0071042D" w:rsidRPr="00262EFD" w:rsidRDefault="0071042D" w:rsidP="00262EFD">
      <w:pPr>
        <w:spacing w:after="0"/>
        <w:rPr>
          <w:sz w:val="21"/>
          <w:szCs w:val="21"/>
        </w:rPr>
      </w:pP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sz w:val="21"/>
          <w:szCs w:val="21"/>
        </w:rPr>
        <w:t>Компания предлагает рынку промышленного и гражданского строительства следующие флагманские программные продукты собственной разработки:</w:t>
      </w:r>
    </w:p>
    <w:p w:rsidR="0071042D" w:rsidRPr="00262EFD" w:rsidRDefault="00150DC6" w:rsidP="00262EFD">
      <w:pPr>
        <w:pStyle w:val="a3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hyperlink r:id="rId28" w:history="1">
        <w:r w:rsidR="0071042D" w:rsidRPr="00262EFD">
          <w:rPr>
            <w:rStyle w:val="ad"/>
            <w:sz w:val="21"/>
            <w:szCs w:val="21"/>
          </w:rPr>
          <w:t>ПОЛИНОМ</w:t>
        </w:r>
      </w:hyperlink>
      <w:r w:rsidR="0071042D" w:rsidRPr="00262EFD">
        <w:rPr>
          <w:sz w:val="21"/>
          <w:szCs w:val="21"/>
        </w:rPr>
        <w:t xml:space="preserve"> – российская 3D </w:t>
      </w:r>
      <w:hyperlink r:id="rId29" w:history="1">
        <w:r w:rsidR="0071042D" w:rsidRPr="00262EFD">
          <w:rPr>
            <w:rStyle w:val="ad"/>
            <w:sz w:val="21"/>
            <w:szCs w:val="21"/>
          </w:rPr>
          <w:t>САПР</w:t>
        </w:r>
      </w:hyperlink>
      <w:r w:rsidR="0071042D" w:rsidRPr="00262EFD">
        <w:rPr>
          <w:sz w:val="21"/>
          <w:szCs w:val="21"/>
        </w:rPr>
        <w:t xml:space="preserve"> нового поколения для комплексного проектирования при строительстве новых и модернизации существующих технологических объектов.</w:t>
      </w:r>
    </w:p>
    <w:p w:rsidR="0071042D" w:rsidRPr="00262EFD" w:rsidRDefault="00150DC6" w:rsidP="00262EFD">
      <w:pPr>
        <w:pStyle w:val="a3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hyperlink r:id="rId30" w:history="1">
        <w:r w:rsidR="0071042D" w:rsidRPr="00262EFD">
          <w:rPr>
            <w:rStyle w:val="ad"/>
            <w:sz w:val="21"/>
            <w:szCs w:val="21"/>
          </w:rPr>
          <w:t>НЕОСИНТЕЗ</w:t>
        </w:r>
      </w:hyperlink>
      <w:r w:rsidR="0071042D" w:rsidRPr="00262EFD">
        <w:rPr>
          <w:sz w:val="21"/>
          <w:szCs w:val="21"/>
        </w:rPr>
        <w:t xml:space="preserve"> – российская PLM-система (от </w:t>
      </w:r>
      <w:proofErr w:type="spellStart"/>
      <w:r w:rsidR="0071042D" w:rsidRPr="00262EFD">
        <w:rPr>
          <w:sz w:val="21"/>
          <w:szCs w:val="21"/>
        </w:rPr>
        <w:t>анг</w:t>
      </w:r>
      <w:proofErr w:type="spellEnd"/>
      <w:r w:rsidR="0071042D" w:rsidRPr="00262EFD">
        <w:rPr>
          <w:sz w:val="21"/>
          <w:szCs w:val="21"/>
        </w:rPr>
        <w:t xml:space="preserve">. </w:t>
      </w:r>
      <w:proofErr w:type="spellStart"/>
      <w:r w:rsidR="0071042D" w:rsidRPr="00262EFD">
        <w:rPr>
          <w:sz w:val="21"/>
          <w:szCs w:val="21"/>
        </w:rPr>
        <w:t>Plant</w:t>
      </w:r>
      <w:proofErr w:type="spellEnd"/>
      <w:r w:rsidR="0071042D" w:rsidRPr="00262EFD">
        <w:rPr>
          <w:sz w:val="21"/>
          <w:szCs w:val="21"/>
        </w:rPr>
        <w:t xml:space="preserve"> </w:t>
      </w:r>
      <w:proofErr w:type="spellStart"/>
      <w:r w:rsidR="0071042D" w:rsidRPr="00262EFD">
        <w:rPr>
          <w:sz w:val="21"/>
          <w:szCs w:val="21"/>
        </w:rPr>
        <w:t>Lifecycle</w:t>
      </w:r>
      <w:proofErr w:type="spellEnd"/>
      <w:r w:rsidR="0071042D" w:rsidRPr="00262EFD">
        <w:rPr>
          <w:sz w:val="21"/>
          <w:szCs w:val="21"/>
        </w:rPr>
        <w:t xml:space="preserve"> </w:t>
      </w:r>
      <w:proofErr w:type="spellStart"/>
      <w:r w:rsidR="0071042D" w:rsidRPr="00262EFD">
        <w:rPr>
          <w:sz w:val="21"/>
          <w:szCs w:val="21"/>
        </w:rPr>
        <w:t>Management</w:t>
      </w:r>
      <w:proofErr w:type="spellEnd"/>
      <w:r w:rsidR="0071042D" w:rsidRPr="00262EFD">
        <w:rPr>
          <w:sz w:val="21"/>
          <w:szCs w:val="21"/>
        </w:rPr>
        <w:t xml:space="preserve"> – управление жизненным циклом промышленного объекта), обеспечивающая управление инженерными данными на всех стадиях жизненного цикла инфраструктурного объекта.</w:t>
      </w:r>
    </w:p>
    <w:p w:rsidR="0071042D" w:rsidRPr="00262EFD" w:rsidRDefault="00150DC6" w:rsidP="00262EFD">
      <w:pPr>
        <w:pStyle w:val="a3"/>
        <w:numPr>
          <w:ilvl w:val="0"/>
          <w:numId w:val="11"/>
        </w:numPr>
        <w:spacing w:after="0" w:line="240" w:lineRule="auto"/>
        <w:rPr>
          <w:sz w:val="21"/>
          <w:szCs w:val="21"/>
        </w:rPr>
      </w:pPr>
      <w:hyperlink r:id="rId31" w:history="1">
        <w:r w:rsidR="0071042D" w:rsidRPr="00262EFD">
          <w:rPr>
            <w:rStyle w:val="ad"/>
            <w:sz w:val="21"/>
            <w:szCs w:val="21"/>
            <w:lang w:val="en-US"/>
          </w:rPr>
          <w:t>InterBridge</w:t>
        </w:r>
      </w:hyperlink>
      <w:r w:rsidR="0071042D" w:rsidRPr="00262EFD">
        <w:rPr>
          <w:sz w:val="21"/>
          <w:szCs w:val="21"/>
        </w:rPr>
        <w:t xml:space="preserve"> – программный продукт для оперативной трансляции графических и семантических 2D/3D данных между САПР и PLM различных платформ, позволяющий формировать и просматривать единую 2D/3D модель крупномасштабных технологических объектов.</w:t>
      </w:r>
    </w:p>
    <w:p w:rsidR="0071042D" w:rsidRPr="00262EFD" w:rsidRDefault="0071042D" w:rsidP="00262EFD">
      <w:pPr>
        <w:spacing w:after="0"/>
        <w:rPr>
          <w:sz w:val="21"/>
          <w:szCs w:val="21"/>
        </w:rPr>
      </w:pP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b/>
          <w:bCs/>
          <w:sz w:val="21"/>
          <w:szCs w:val="21"/>
        </w:rPr>
        <w:t>Крупнейшие заказчики</w:t>
      </w:r>
      <w:r w:rsidRPr="00262EFD">
        <w:rPr>
          <w:sz w:val="21"/>
          <w:szCs w:val="21"/>
        </w:rPr>
        <w:t>: «</w:t>
      </w:r>
      <w:proofErr w:type="spellStart"/>
      <w:r w:rsidRPr="00262EFD">
        <w:rPr>
          <w:sz w:val="21"/>
          <w:szCs w:val="21"/>
        </w:rPr>
        <w:t>Башнефть</w:t>
      </w:r>
      <w:proofErr w:type="spellEnd"/>
      <w:r w:rsidRPr="00262EFD">
        <w:rPr>
          <w:sz w:val="21"/>
          <w:szCs w:val="21"/>
        </w:rPr>
        <w:t>», «Газпром», «ЛУКОЙЛ», «</w:t>
      </w:r>
      <w:proofErr w:type="spellStart"/>
      <w:r w:rsidRPr="00262EFD">
        <w:rPr>
          <w:sz w:val="21"/>
          <w:szCs w:val="21"/>
        </w:rPr>
        <w:t>Росатом</w:t>
      </w:r>
      <w:proofErr w:type="spellEnd"/>
      <w:r w:rsidRPr="00262EFD">
        <w:rPr>
          <w:sz w:val="21"/>
          <w:szCs w:val="21"/>
        </w:rPr>
        <w:t>», «Роснефть», «</w:t>
      </w:r>
      <w:proofErr w:type="spellStart"/>
      <w:r w:rsidRPr="00262EFD">
        <w:rPr>
          <w:sz w:val="21"/>
          <w:szCs w:val="21"/>
        </w:rPr>
        <w:t>РусГидро</w:t>
      </w:r>
      <w:proofErr w:type="spellEnd"/>
      <w:r w:rsidRPr="00262EFD">
        <w:rPr>
          <w:sz w:val="21"/>
          <w:szCs w:val="21"/>
        </w:rPr>
        <w:t>», «</w:t>
      </w:r>
      <w:proofErr w:type="spellStart"/>
      <w:r w:rsidRPr="00262EFD">
        <w:rPr>
          <w:sz w:val="21"/>
          <w:szCs w:val="21"/>
        </w:rPr>
        <w:t>Транснефть</w:t>
      </w:r>
      <w:proofErr w:type="spellEnd"/>
      <w:r w:rsidRPr="00262EFD">
        <w:rPr>
          <w:sz w:val="21"/>
          <w:szCs w:val="21"/>
        </w:rPr>
        <w:t>», ФСО РФ, региональные органы власти.</w:t>
      </w:r>
    </w:p>
    <w:p w:rsidR="0071042D" w:rsidRPr="00262EFD" w:rsidRDefault="0071042D" w:rsidP="00262EFD">
      <w:pPr>
        <w:spacing w:after="0"/>
        <w:ind w:firstLine="709"/>
        <w:rPr>
          <w:sz w:val="21"/>
          <w:szCs w:val="21"/>
        </w:rPr>
      </w:pP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sz w:val="21"/>
          <w:szCs w:val="21"/>
        </w:rPr>
        <w:t xml:space="preserve">«НЕОЛАНТ» </w:t>
      </w:r>
      <w:hyperlink r:id="rId32" w:history="1">
        <w:r w:rsidRPr="00262EFD">
          <w:rPr>
            <w:rStyle w:val="ad"/>
            <w:sz w:val="21"/>
            <w:szCs w:val="21"/>
          </w:rPr>
          <w:t>входит в ТОР 35</w:t>
        </w:r>
      </w:hyperlink>
      <w:r w:rsidRPr="00262EFD">
        <w:rPr>
          <w:sz w:val="21"/>
          <w:szCs w:val="21"/>
        </w:rPr>
        <w:t xml:space="preserve"> крупнейших IT-компаний России.</w:t>
      </w:r>
    </w:p>
    <w:p w:rsidR="0071042D" w:rsidRPr="00262EFD" w:rsidRDefault="0071042D" w:rsidP="00262EFD">
      <w:pPr>
        <w:spacing w:after="0"/>
        <w:ind w:firstLine="709"/>
        <w:rPr>
          <w:sz w:val="21"/>
          <w:szCs w:val="21"/>
        </w:rPr>
      </w:pPr>
    </w:p>
    <w:p w:rsidR="0071042D" w:rsidRPr="00262EFD" w:rsidRDefault="0071042D" w:rsidP="00262EFD">
      <w:pPr>
        <w:spacing w:after="0"/>
        <w:rPr>
          <w:sz w:val="21"/>
          <w:szCs w:val="21"/>
        </w:rPr>
      </w:pPr>
      <w:r w:rsidRPr="00262EFD">
        <w:rPr>
          <w:sz w:val="21"/>
          <w:szCs w:val="21"/>
        </w:rPr>
        <w:t>Офисы группы компаний «НЕОЛАНТ» расположены в Москве, Дубне, Железногорске, Иркутске, Калининграде, Королёве, Красноярске, Санкт-Петербурге, Ставрополе, Тюмени.</w:t>
      </w:r>
    </w:p>
    <w:p w:rsidR="0071042D" w:rsidRPr="00262EFD" w:rsidRDefault="0071042D" w:rsidP="00262EFD">
      <w:pPr>
        <w:spacing w:after="0"/>
        <w:ind w:firstLine="709"/>
        <w:rPr>
          <w:sz w:val="21"/>
          <w:szCs w:val="21"/>
        </w:rPr>
      </w:pPr>
    </w:p>
    <w:p w:rsidR="0071042D" w:rsidRPr="00262EFD" w:rsidRDefault="0071042D" w:rsidP="00262EFD">
      <w:pPr>
        <w:spacing w:after="0" w:line="240" w:lineRule="auto"/>
        <w:jc w:val="both"/>
        <w:rPr>
          <w:sz w:val="21"/>
          <w:szCs w:val="21"/>
        </w:rPr>
      </w:pPr>
      <w:r w:rsidRPr="00262EFD">
        <w:rPr>
          <w:sz w:val="21"/>
          <w:szCs w:val="21"/>
        </w:rPr>
        <w:t xml:space="preserve">Сайт группы компаний: </w:t>
      </w:r>
      <w:hyperlink r:id="rId33" w:history="1">
        <w:r w:rsidRPr="00262EFD">
          <w:rPr>
            <w:rStyle w:val="ad"/>
            <w:sz w:val="21"/>
            <w:szCs w:val="21"/>
          </w:rPr>
          <w:t>www.neolant.ru</w:t>
        </w:r>
      </w:hyperlink>
      <w:r w:rsidRPr="00262EFD">
        <w:rPr>
          <w:sz w:val="21"/>
          <w:szCs w:val="21"/>
        </w:rPr>
        <w:t>.</w:t>
      </w:r>
    </w:p>
    <w:sectPr w:rsidR="0071042D" w:rsidRPr="00262EFD" w:rsidSect="00262EFD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4.5pt;height:9pt" o:bullet="t">
        <v:imagedata r:id="rId1" o:title="Галка"/>
      </v:shape>
    </w:pict>
  </w:numPicBullet>
  <w:abstractNum w:abstractNumId="0" w15:restartNumberingAfterBreak="0">
    <w:nsid w:val="124640E5"/>
    <w:multiLevelType w:val="hybridMultilevel"/>
    <w:tmpl w:val="994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11BE"/>
    <w:multiLevelType w:val="multilevel"/>
    <w:tmpl w:val="A60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40310"/>
    <w:multiLevelType w:val="hybridMultilevel"/>
    <w:tmpl w:val="50D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A5D86"/>
    <w:multiLevelType w:val="hybridMultilevel"/>
    <w:tmpl w:val="3DAC80C2"/>
    <w:lvl w:ilvl="0" w:tplc="7170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6B8"/>
    <w:multiLevelType w:val="multilevel"/>
    <w:tmpl w:val="D93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76BBC"/>
    <w:multiLevelType w:val="hybridMultilevel"/>
    <w:tmpl w:val="D0C4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3195"/>
    <w:multiLevelType w:val="multilevel"/>
    <w:tmpl w:val="D7D8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67360"/>
    <w:multiLevelType w:val="hybridMultilevel"/>
    <w:tmpl w:val="064E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A447C"/>
    <w:multiLevelType w:val="hybridMultilevel"/>
    <w:tmpl w:val="3836E484"/>
    <w:lvl w:ilvl="0" w:tplc="6F5EF0A6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7C11CA"/>
    <w:multiLevelType w:val="hybridMultilevel"/>
    <w:tmpl w:val="5FE4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A6D95"/>
    <w:multiLevelType w:val="multilevel"/>
    <w:tmpl w:val="998A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51302"/>
    <w:multiLevelType w:val="hybridMultilevel"/>
    <w:tmpl w:val="C29C9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B50AB"/>
    <w:multiLevelType w:val="hybridMultilevel"/>
    <w:tmpl w:val="F92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471EB"/>
    <w:multiLevelType w:val="hybridMultilevel"/>
    <w:tmpl w:val="4AB8EB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D3E16D2"/>
    <w:multiLevelType w:val="hybridMultilevel"/>
    <w:tmpl w:val="3780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A"/>
    <w:rsid w:val="00036F73"/>
    <w:rsid w:val="00076D5E"/>
    <w:rsid w:val="000E52FE"/>
    <w:rsid w:val="0010057A"/>
    <w:rsid w:val="00100757"/>
    <w:rsid w:val="001044AB"/>
    <w:rsid w:val="00121454"/>
    <w:rsid w:val="00123095"/>
    <w:rsid w:val="00150DC6"/>
    <w:rsid w:val="001C4464"/>
    <w:rsid w:val="00203F96"/>
    <w:rsid w:val="00262EFD"/>
    <w:rsid w:val="00272492"/>
    <w:rsid w:val="002B153A"/>
    <w:rsid w:val="002F631B"/>
    <w:rsid w:val="00354A74"/>
    <w:rsid w:val="00354FD1"/>
    <w:rsid w:val="00365EFA"/>
    <w:rsid w:val="004133F4"/>
    <w:rsid w:val="004517AE"/>
    <w:rsid w:val="00460303"/>
    <w:rsid w:val="0046061D"/>
    <w:rsid w:val="00480699"/>
    <w:rsid w:val="004F5CFE"/>
    <w:rsid w:val="00572EBC"/>
    <w:rsid w:val="005E31FA"/>
    <w:rsid w:val="00614F79"/>
    <w:rsid w:val="00670DAE"/>
    <w:rsid w:val="006B4F65"/>
    <w:rsid w:val="006E3CBC"/>
    <w:rsid w:val="0071042D"/>
    <w:rsid w:val="0073703B"/>
    <w:rsid w:val="007E18C4"/>
    <w:rsid w:val="007E655B"/>
    <w:rsid w:val="00806E77"/>
    <w:rsid w:val="00853902"/>
    <w:rsid w:val="008C0BFE"/>
    <w:rsid w:val="008D0385"/>
    <w:rsid w:val="008D5ED3"/>
    <w:rsid w:val="008F7CBA"/>
    <w:rsid w:val="009231E2"/>
    <w:rsid w:val="00940E30"/>
    <w:rsid w:val="00953F77"/>
    <w:rsid w:val="009749BF"/>
    <w:rsid w:val="009826B7"/>
    <w:rsid w:val="00A23B96"/>
    <w:rsid w:val="00AB48B6"/>
    <w:rsid w:val="00AB4FBF"/>
    <w:rsid w:val="00B00E03"/>
    <w:rsid w:val="00B513B5"/>
    <w:rsid w:val="00B90FFE"/>
    <w:rsid w:val="00B9484B"/>
    <w:rsid w:val="00BC4110"/>
    <w:rsid w:val="00C64C93"/>
    <w:rsid w:val="00C72CB5"/>
    <w:rsid w:val="00CA35C6"/>
    <w:rsid w:val="00CE01CC"/>
    <w:rsid w:val="00D01232"/>
    <w:rsid w:val="00D03651"/>
    <w:rsid w:val="00D365D9"/>
    <w:rsid w:val="00D84E84"/>
    <w:rsid w:val="00DB7956"/>
    <w:rsid w:val="00E71C3F"/>
    <w:rsid w:val="00EA6DCC"/>
    <w:rsid w:val="00EB1913"/>
    <w:rsid w:val="00ED075D"/>
    <w:rsid w:val="00F120AE"/>
    <w:rsid w:val="00FB0CB5"/>
    <w:rsid w:val="00FC1818"/>
    <w:rsid w:val="00FD7DC6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6C3C73-F61F-4EC4-8FCD-DC0F3FD2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3A"/>
    <w:pPr>
      <w:ind w:left="720"/>
      <w:contextualSpacing/>
    </w:pPr>
  </w:style>
  <w:style w:type="paragraph" w:styleId="a4">
    <w:name w:val="footnote text"/>
    <w:basedOn w:val="a"/>
    <w:link w:val="a5"/>
    <w:semiHidden/>
    <w:rsid w:val="00C64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semiHidden/>
    <w:rsid w:val="00C64C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annotation reference"/>
    <w:basedOn w:val="a0"/>
    <w:uiPriority w:val="99"/>
    <w:semiHidden/>
    <w:unhideWhenUsed/>
    <w:rsid w:val="00806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6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6E7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6E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6E7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0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6E77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E01CC"/>
    <w:rPr>
      <w:color w:val="0000FF"/>
      <w:u w:val="single"/>
    </w:rPr>
  </w:style>
  <w:style w:type="paragraph" w:customStyle="1" w:styleId="lid">
    <w:name w:val="lid"/>
    <w:basedOn w:val="a"/>
    <w:rsid w:val="002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26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it-region.livejournal.com" TargetMode="External"/><Relationship Id="rId18" Type="http://schemas.openxmlformats.org/officeDocument/2006/relationships/hyperlink" Target="http://neolant.ru/razrabotka/" TargetMode="External"/><Relationship Id="rId26" Type="http://schemas.openxmlformats.org/officeDocument/2006/relationships/hyperlink" Target="http://neolant.ru/technologies/projectco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olant.ru/technologies/info_model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eolant.ru/solutions/gis/news_detail.php?ID=2312" TargetMode="External"/><Relationship Id="rId12" Type="http://schemas.openxmlformats.org/officeDocument/2006/relationships/hyperlink" Target="mailto:sorokina@neolant.ru" TargetMode="External"/><Relationship Id="rId17" Type="http://schemas.openxmlformats.org/officeDocument/2006/relationships/hyperlink" Target="http://neolant.ru/engineering/" TargetMode="External"/><Relationship Id="rId25" Type="http://schemas.openxmlformats.org/officeDocument/2006/relationships/hyperlink" Target="http://neolant.ru/technologies/datacont/" TargetMode="External"/><Relationship Id="rId33" Type="http://schemas.openxmlformats.org/officeDocument/2006/relationships/hyperlink" Target="http://www.neol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eolant.ru/gossector/" TargetMode="External"/><Relationship Id="rId20" Type="http://schemas.openxmlformats.org/officeDocument/2006/relationships/hyperlink" Target="http://neolant.ru/platforms/" TargetMode="External"/><Relationship Id="rId29" Type="http://schemas.openxmlformats.org/officeDocument/2006/relationships/hyperlink" Target="http://www.neolant.ru/technologies/sap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eolant.ru/solutions/gis/horizont_webinar.php" TargetMode="External"/><Relationship Id="rId24" Type="http://schemas.openxmlformats.org/officeDocument/2006/relationships/hyperlink" Target="http://www.neolant.ru/technologies/sapr/" TargetMode="External"/><Relationship Id="rId32" Type="http://schemas.openxmlformats.org/officeDocument/2006/relationships/hyperlink" Target="http://www.neolant.ru/about/Rating/index.php/" TargetMode="External"/><Relationship Id="rId5" Type="http://schemas.openxmlformats.org/officeDocument/2006/relationships/hyperlink" Target="http://neolant.ru/press-center/news/index.php?ID=2585" TargetMode="External"/><Relationship Id="rId15" Type="http://schemas.openxmlformats.org/officeDocument/2006/relationships/hyperlink" Target="http://www.neolant.ru" TargetMode="External"/><Relationship Id="rId23" Type="http://schemas.openxmlformats.org/officeDocument/2006/relationships/hyperlink" Target="http://www.neolant.ru/technologies/gis/" TargetMode="External"/><Relationship Id="rId28" Type="http://schemas.openxmlformats.org/officeDocument/2006/relationships/hyperlink" Target="http://www.neolant.ru/polynom/" TargetMode="External"/><Relationship Id="rId10" Type="http://schemas.openxmlformats.org/officeDocument/2006/relationships/image" Target="media/image5.jpg"/><Relationship Id="rId19" Type="http://schemas.openxmlformats.org/officeDocument/2006/relationships/hyperlink" Target="http://neolant.ru/technologies/info_model/" TargetMode="External"/><Relationship Id="rId31" Type="http://schemas.openxmlformats.org/officeDocument/2006/relationships/hyperlink" Target="http://www.neolant.ru/interbrid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mailto:sorokina@neolant.ru" TargetMode="External"/><Relationship Id="rId22" Type="http://schemas.openxmlformats.org/officeDocument/2006/relationships/hyperlink" Target="http://neolant.ru/technologies/plm.php" TargetMode="External"/><Relationship Id="rId27" Type="http://schemas.openxmlformats.org/officeDocument/2006/relationships/hyperlink" Target="http://neolant.ru/technologies/intersystemfusion/" TargetMode="External"/><Relationship Id="rId30" Type="http://schemas.openxmlformats.org/officeDocument/2006/relationships/hyperlink" Target="http://www.neolant.ru/neosyntez/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2</cp:revision>
  <cp:lastPrinted>2015-11-19T13:06:00Z</cp:lastPrinted>
  <dcterms:created xsi:type="dcterms:W3CDTF">2016-02-03T12:55:00Z</dcterms:created>
  <dcterms:modified xsi:type="dcterms:W3CDTF">2016-02-03T12:55:00Z</dcterms:modified>
</cp:coreProperties>
</file>