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108E0" w14:textId="77777777" w:rsidR="006F75DA" w:rsidRDefault="006F75DA" w:rsidP="007C4D79">
      <w:pPr>
        <w:spacing w:after="0"/>
        <w:rPr>
          <w:b/>
        </w:rPr>
      </w:pPr>
      <w:r w:rsidRPr="00166119">
        <w:rPr>
          <w:b/>
        </w:rPr>
        <w:t xml:space="preserve">НЕОЛАНТ: решена задача </w:t>
      </w:r>
      <w:r>
        <w:rPr>
          <w:b/>
        </w:rPr>
        <w:t>и</w:t>
      </w:r>
      <w:r w:rsidRPr="00166119">
        <w:rPr>
          <w:b/>
        </w:rPr>
        <w:t>нтеграции BIM-платформы c информационной системой обеспечения градостроительной деятельности (ИСОГД)</w:t>
      </w:r>
    </w:p>
    <w:p w14:paraId="12324D77" w14:textId="77777777" w:rsidR="005432AC" w:rsidRDefault="005432AC" w:rsidP="007C4D79">
      <w:pPr>
        <w:spacing w:after="0"/>
        <w:rPr>
          <w:b/>
        </w:rPr>
      </w:pPr>
    </w:p>
    <w:p w14:paraId="1EA1AD3B" w14:textId="6CEA0C80" w:rsidR="005432AC" w:rsidRPr="003B7569" w:rsidRDefault="005432AC" w:rsidP="005432AC">
      <w:pPr>
        <w:spacing w:after="0" w:line="240" w:lineRule="auto"/>
        <w:rPr>
          <w:b/>
          <w:color w:val="0070C0"/>
        </w:rPr>
      </w:pPr>
      <w:r>
        <w:rPr>
          <w:b/>
          <w:color w:val="0070C0"/>
        </w:rPr>
        <w:t>08</w:t>
      </w:r>
      <w:r w:rsidRPr="003B7569">
        <w:rPr>
          <w:b/>
          <w:color w:val="0070C0"/>
        </w:rPr>
        <w:t>.0</w:t>
      </w:r>
      <w:r>
        <w:rPr>
          <w:b/>
          <w:color w:val="0070C0"/>
        </w:rPr>
        <w:t>4</w:t>
      </w:r>
      <w:r w:rsidRPr="003B7569">
        <w:rPr>
          <w:b/>
          <w:color w:val="0070C0"/>
        </w:rPr>
        <w:t>.2016</w:t>
      </w:r>
    </w:p>
    <w:p w14:paraId="218F1081" w14:textId="77777777" w:rsidR="007C4D79" w:rsidRPr="00166119" w:rsidRDefault="007C4D79" w:rsidP="007C4D79">
      <w:pPr>
        <w:spacing w:after="0"/>
        <w:rPr>
          <w:b/>
        </w:rPr>
      </w:pPr>
    </w:p>
    <w:p w14:paraId="775422E1" w14:textId="18B6BCF7" w:rsidR="004E1C6A" w:rsidRDefault="0027661E" w:rsidP="007C4D79">
      <w:pPr>
        <w:spacing w:after="0"/>
        <w:jc w:val="both"/>
      </w:pPr>
      <w:r>
        <w:rPr>
          <w:noProof/>
          <w:lang w:eastAsia="ru-RU"/>
        </w:rPr>
        <mc:AlternateContent>
          <mc:Choice Requires="wps">
            <w:drawing>
              <wp:anchor distT="45720" distB="45720" distL="114300" distR="114300" simplePos="0" relativeHeight="251660288" behindDoc="0" locked="0" layoutInCell="1" allowOverlap="1" wp14:anchorId="1884824A" wp14:editId="71BE8E34">
                <wp:simplePos x="0" y="0"/>
                <wp:positionH relativeFrom="column">
                  <wp:posOffset>-3810</wp:posOffset>
                </wp:positionH>
                <wp:positionV relativeFrom="paragraph">
                  <wp:posOffset>1395095</wp:posOffset>
                </wp:positionV>
                <wp:extent cx="2438400" cy="1404620"/>
                <wp:effectExtent l="0" t="0" r="0" b="190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2AE7F849" w14:textId="3F7A8C91" w:rsidR="0027661E" w:rsidRPr="0027661E" w:rsidRDefault="0027661E" w:rsidP="0027661E">
                            <w:pPr>
                              <w:spacing w:after="0"/>
                              <w:jc w:val="center"/>
                            </w:pPr>
                            <w:r w:rsidRPr="0027661E">
                              <w:t>Рис 1. Представление информационной модели сооружения в ИАС «Горизонт». Внешний вид ОКС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4824A" id="_x0000_t202" coordsize="21600,21600" o:spt="202" path="m,l,21600r21600,l21600,xe">
                <v:stroke joinstyle="miter"/>
                <v:path gradientshapeok="t" o:connecttype="rect"/>
              </v:shapetype>
              <v:shape id="Надпись 2" o:spid="_x0000_s1026" type="#_x0000_t202" style="position:absolute;left:0;text-align:left;margin-left:-.3pt;margin-top:109.85pt;width:19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" filled="f" stroked="f">
                <v:textbox style="mso-fit-shape-to-text:t">
                  <w:txbxContent>
                    <w:p w14:paraId="2AE7F849" w14:textId="3F7A8C91" w:rsidR="0027661E" w:rsidRPr="0027661E" w:rsidRDefault="0027661E" w:rsidP="0027661E">
                      <w:pPr>
                        <w:spacing w:after="0"/>
                        <w:jc w:val="center"/>
                      </w:pPr>
                      <w:r w:rsidRPr="0027661E">
                        <w:t>Рис 1. Представление информационной модели сооружения в ИАС «Горизонт». Внешний вид ОКС</w:t>
                      </w:r>
                    </w:p>
                  </w:txbxContent>
                </v:textbox>
                <w10:wrap type="square"/>
              </v:shape>
            </w:pict>
          </mc:Fallback>
        </mc:AlternateContent>
      </w:r>
      <w:r>
        <w:rPr>
          <w:noProof/>
          <w:lang w:eastAsia="ru-RU"/>
        </w:rPr>
        <w:drawing>
          <wp:anchor distT="0" distB="0" distL="114300" distR="114300" simplePos="0" relativeHeight="251658240" behindDoc="0" locked="0" layoutInCell="1" allowOverlap="1" wp14:anchorId="5097D2AB" wp14:editId="57F856F4">
            <wp:simplePos x="0" y="0"/>
            <wp:positionH relativeFrom="column">
              <wp:posOffset>-3810</wp:posOffset>
            </wp:positionH>
            <wp:positionV relativeFrom="paragraph">
              <wp:posOffset>42545</wp:posOffset>
            </wp:positionV>
            <wp:extent cx="2438400" cy="13716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371600"/>
                    </a:xfrm>
                    <a:prstGeom prst="rect">
                      <a:avLst/>
                    </a:prstGeom>
                  </pic:spPr>
                </pic:pic>
              </a:graphicData>
            </a:graphic>
            <wp14:sizeRelH relativeFrom="page">
              <wp14:pctWidth>0</wp14:pctWidth>
            </wp14:sizeRelH>
            <wp14:sizeRelV relativeFrom="page">
              <wp14:pctHeight>0</wp14:pctHeight>
            </wp14:sizeRelV>
          </wp:anchor>
        </w:drawing>
      </w:r>
      <w:r w:rsidR="006F75DA">
        <w:t>Н</w:t>
      </w:r>
      <w:r w:rsidR="00BF312E">
        <w:t xml:space="preserve">а </w:t>
      </w:r>
      <w:hyperlink r:id="rId6" w:history="1">
        <w:r w:rsidR="00BF312E" w:rsidRPr="008C172E">
          <w:rPr>
            <w:rStyle w:val="a3"/>
          </w:rPr>
          <w:t>Всероссийском совещании по вопросам сметного нормирования и совершенствования системы ценообразования в строительстве</w:t>
        </w:r>
      </w:hyperlink>
      <w:r w:rsidR="00BF312E">
        <w:t xml:space="preserve"> глава Минстроя </w:t>
      </w:r>
      <w:r w:rsidR="006F75DA">
        <w:t xml:space="preserve">РФ </w:t>
      </w:r>
      <w:r w:rsidR="00BF312E">
        <w:t xml:space="preserve">Михаил </w:t>
      </w:r>
      <w:r w:rsidR="006F75DA">
        <w:t xml:space="preserve">Александрович </w:t>
      </w:r>
      <w:proofErr w:type="spellStart"/>
      <w:r w:rsidR="00BF312E">
        <w:t>Мень</w:t>
      </w:r>
      <w:proofErr w:type="spellEnd"/>
      <w:r w:rsidR="00BF312E">
        <w:t xml:space="preserve"> подчеркнул необходимость создания базы типовых проектов и повышени</w:t>
      </w:r>
      <w:r w:rsidR="00C54819">
        <w:t>я</w:t>
      </w:r>
      <w:r w:rsidR="00BF312E">
        <w:t xml:space="preserve"> эффективности капитальных вложений в строительной </w:t>
      </w:r>
      <w:r w:rsidR="006F75DA">
        <w:t xml:space="preserve">отрасли </w:t>
      </w:r>
      <w:r w:rsidR="00BF312E">
        <w:t xml:space="preserve">за счет применения </w:t>
      </w:r>
      <w:r w:rsidR="00BF312E" w:rsidRPr="00BF312E">
        <w:t xml:space="preserve">инструментов </w:t>
      </w:r>
      <w:hyperlink r:id="rId7" w:history="1">
        <w:r w:rsidR="00BF312E" w:rsidRPr="007C4D79">
          <w:rPr>
            <w:rStyle w:val="a3"/>
          </w:rPr>
          <w:t>информационного моделирования</w:t>
        </w:r>
      </w:hyperlink>
      <w:r w:rsidR="00BF312E" w:rsidRPr="00BF312E">
        <w:t xml:space="preserve"> зданий, так называемых BIM-технологий</w:t>
      </w:r>
      <w:r w:rsidR="006F75DA">
        <w:t>.</w:t>
      </w:r>
    </w:p>
    <w:p w14:paraId="23885FCF" w14:textId="2B5AFFEB" w:rsidR="007C4D79" w:rsidRDefault="007C4D79" w:rsidP="007C4D79">
      <w:pPr>
        <w:spacing w:after="0"/>
        <w:jc w:val="both"/>
      </w:pPr>
    </w:p>
    <w:p w14:paraId="71CB0773" w14:textId="214E7266" w:rsidR="009231E2" w:rsidRDefault="008C172E" w:rsidP="007C4D79">
      <w:pPr>
        <w:spacing w:after="0"/>
        <w:jc w:val="both"/>
      </w:pPr>
      <w:r>
        <w:rPr>
          <w:noProof/>
          <w:lang w:eastAsia="ru-RU"/>
        </w:rPr>
        <w:drawing>
          <wp:anchor distT="0" distB="0" distL="114300" distR="114300" simplePos="0" relativeHeight="251661312" behindDoc="0" locked="0" layoutInCell="1" allowOverlap="1" wp14:anchorId="045365C0" wp14:editId="595F0281">
            <wp:simplePos x="0" y="0"/>
            <wp:positionH relativeFrom="column">
              <wp:posOffset>-3810</wp:posOffset>
            </wp:positionH>
            <wp:positionV relativeFrom="paragraph">
              <wp:posOffset>361950</wp:posOffset>
            </wp:positionV>
            <wp:extent cx="2437130" cy="1370330"/>
            <wp:effectExtent l="0" t="0" r="127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7130" cy="1370330"/>
                    </a:xfrm>
                    <a:prstGeom prst="rect">
                      <a:avLst/>
                    </a:prstGeom>
                  </pic:spPr>
                </pic:pic>
              </a:graphicData>
            </a:graphic>
            <wp14:sizeRelH relativeFrom="page">
              <wp14:pctWidth>0</wp14:pctWidth>
            </wp14:sizeRelH>
            <wp14:sizeRelV relativeFrom="page">
              <wp14:pctHeight>0</wp14:pctHeight>
            </wp14:sizeRelV>
          </wp:anchor>
        </w:drawing>
      </w:r>
      <w:r w:rsidR="00BF312E">
        <w:t xml:space="preserve">При этом </w:t>
      </w:r>
      <w:r w:rsidR="00C54819">
        <w:t xml:space="preserve">он отметил, что </w:t>
      </w:r>
      <w:r w:rsidR="00BF312E">
        <w:t xml:space="preserve">к компетенции Министерства </w:t>
      </w:r>
      <w:r w:rsidR="00611A9B">
        <w:t>относится</w:t>
      </w:r>
      <w:r w:rsidR="00BF312E">
        <w:t xml:space="preserve"> решение задачи и</w:t>
      </w:r>
      <w:r w:rsidR="00BF312E" w:rsidRPr="00BF312E">
        <w:t>нтеграции BIM-платформы c информационной системой обеспечения градостроительной деятельности (ИСОГД)</w:t>
      </w:r>
      <w:r w:rsidR="00BF312E">
        <w:t xml:space="preserve"> </w:t>
      </w:r>
      <w:r w:rsidR="00611A9B">
        <w:t xml:space="preserve">для </w:t>
      </w:r>
      <w:r w:rsidR="00BF312E" w:rsidRPr="00BF312E">
        <w:t>максимальн</w:t>
      </w:r>
      <w:r w:rsidR="00611A9B">
        <w:t>ого</w:t>
      </w:r>
      <w:r w:rsidR="00BF312E" w:rsidRPr="00BF312E">
        <w:t xml:space="preserve"> упро</w:t>
      </w:r>
      <w:r w:rsidR="00611A9B">
        <w:t>щения</w:t>
      </w:r>
      <w:r w:rsidR="00BF312E" w:rsidRPr="00BF312E">
        <w:t xml:space="preserve"> переход</w:t>
      </w:r>
      <w:r w:rsidR="00611A9B">
        <w:t>а</w:t>
      </w:r>
      <w:r w:rsidR="00BF312E" w:rsidRPr="00BF312E">
        <w:t xml:space="preserve"> на информационное моделирование в строительстве и </w:t>
      </w:r>
      <w:r w:rsidR="00611A9B">
        <w:t>стимулирования</w:t>
      </w:r>
      <w:r w:rsidR="00611A9B" w:rsidRPr="00BF312E">
        <w:t xml:space="preserve"> </w:t>
      </w:r>
      <w:r w:rsidR="00BF312E" w:rsidRPr="00BF312E">
        <w:t>его внедрени</w:t>
      </w:r>
      <w:r w:rsidR="00611A9B">
        <w:t>я</w:t>
      </w:r>
      <w:r w:rsidR="00BF312E" w:rsidRPr="00BF312E">
        <w:t xml:space="preserve"> в практику</w:t>
      </w:r>
      <w:r w:rsidR="00BF312E">
        <w:t>.</w:t>
      </w:r>
    </w:p>
    <w:p w14:paraId="6DE71DFF" w14:textId="77777777" w:rsidR="007C4D79" w:rsidRDefault="007C4D79" w:rsidP="007C4D79">
      <w:pPr>
        <w:spacing w:after="0"/>
        <w:jc w:val="both"/>
      </w:pPr>
    </w:p>
    <w:p w14:paraId="14E9AE68" w14:textId="69F91AF0" w:rsidR="00DF3EFF" w:rsidRDefault="005432AC" w:rsidP="007C4D79">
      <w:pPr>
        <w:spacing w:after="0"/>
        <w:jc w:val="both"/>
      </w:pPr>
      <w:r>
        <w:rPr>
          <w:noProof/>
          <w:lang w:eastAsia="ru-RU"/>
        </w:rPr>
        <w:drawing>
          <wp:anchor distT="0" distB="0" distL="114300" distR="114300" simplePos="0" relativeHeight="251664384" behindDoc="0" locked="0" layoutInCell="1" allowOverlap="1" wp14:anchorId="44318374" wp14:editId="46AE0E4D">
            <wp:simplePos x="0" y="0"/>
            <wp:positionH relativeFrom="column">
              <wp:posOffset>-3810</wp:posOffset>
            </wp:positionH>
            <wp:positionV relativeFrom="paragraph">
              <wp:posOffset>1071245</wp:posOffset>
            </wp:positionV>
            <wp:extent cx="2437130" cy="1370330"/>
            <wp:effectExtent l="0" t="0" r="1270" b="127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7130" cy="137033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45720" distB="45720" distL="114300" distR="114300" simplePos="0" relativeHeight="251663360" behindDoc="0" locked="0" layoutInCell="1" allowOverlap="1" wp14:anchorId="1A3F6AD7" wp14:editId="1A08552E">
                <wp:simplePos x="0" y="0"/>
                <wp:positionH relativeFrom="column">
                  <wp:posOffset>-3810</wp:posOffset>
                </wp:positionH>
                <wp:positionV relativeFrom="paragraph">
                  <wp:posOffset>271780</wp:posOffset>
                </wp:positionV>
                <wp:extent cx="2438400" cy="1404620"/>
                <wp:effectExtent l="0" t="0" r="0" b="190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3F4B4EDA" w14:textId="57815B8F" w:rsidR="008C172E" w:rsidRPr="0027661E" w:rsidRDefault="008C172E" w:rsidP="008C172E">
                            <w:pPr>
                              <w:spacing w:after="0"/>
                              <w:jc w:val="center"/>
                            </w:pPr>
                            <w:r>
                              <w:t>Рис 2. Представление информационной модели сооружения в ИАС «Горизонт». Отображение контуров объекта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F6AD7" id="_x0000_s1027" type="#_x0000_t202" style="position:absolute;left:0;text-align:left;margin-left:-.3pt;margin-top:21.4pt;width:19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" filled="f" stroked="f">
                <v:textbox style="mso-fit-shape-to-text:t">
                  <w:txbxContent>
                    <w:p w14:paraId="3F4B4EDA" w14:textId="57815B8F" w:rsidR="008C172E" w:rsidRPr="0027661E" w:rsidRDefault="008C172E" w:rsidP="008C172E">
                      <w:pPr>
                        <w:spacing w:after="0"/>
                        <w:jc w:val="center"/>
                      </w:pPr>
                      <w:r>
                        <w:t>Рис 2. Представление информационной модели сооружения в ИАС «Горизонт». Отображение контуров объекта</w:t>
                      </w:r>
                    </w:p>
                  </w:txbxContent>
                </v:textbox>
                <w10:wrap type="square"/>
              </v:shape>
            </w:pict>
          </mc:Fallback>
        </mc:AlternateContent>
      </w:r>
      <w:r w:rsidR="008C172E">
        <w:rPr>
          <w:noProof/>
          <w:lang w:eastAsia="ru-RU"/>
        </w:rPr>
        <mc:AlternateContent>
          <mc:Choice Requires="wps">
            <w:drawing>
              <wp:anchor distT="45720" distB="45720" distL="114300" distR="114300" simplePos="0" relativeHeight="251666432" behindDoc="0" locked="0" layoutInCell="1" allowOverlap="1" wp14:anchorId="0DEA7E37" wp14:editId="148B5CCE">
                <wp:simplePos x="0" y="0"/>
                <wp:positionH relativeFrom="column">
                  <wp:posOffset>0</wp:posOffset>
                </wp:positionH>
                <wp:positionV relativeFrom="paragraph">
                  <wp:posOffset>2433320</wp:posOffset>
                </wp:positionV>
                <wp:extent cx="2438400" cy="1404620"/>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5989F78B" w14:textId="1A33E995" w:rsidR="008C172E" w:rsidRPr="005432AC" w:rsidRDefault="008C172E" w:rsidP="008C172E">
                            <w:pPr>
                              <w:spacing w:after="0"/>
                              <w:jc w:val="center"/>
                            </w:pPr>
                            <w:r>
                              <w:t xml:space="preserve">Рис 3. Размещение информационной модели сооружения в модуле ИСОГД ИАС «Горизонт». Управление </w:t>
                            </w:r>
                            <w:r>
                              <w:rPr>
                                <w:lang w:val="en-US"/>
                              </w:rPr>
                              <w:t>BIM</w:t>
                            </w:r>
                            <w:r w:rsidRPr="002A5341">
                              <w:t xml:space="preserve"> </w:t>
                            </w:r>
                            <w:r>
                              <w:t xml:space="preserve">обеспечивается инструментальными средствами </w:t>
                            </w:r>
                            <w:proofErr w:type="spellStart"/>
                            <w:r>
                              <w:rPr>
                                <w:lang w:val="en-US"/>
                              </w:rPr>
                              <w:t>Inter</w:t>
                            </w:r>
                            <w:r w:rsidR="005432AC">
                              <w:rPr>
                                <w:lang w:val="en-US"/>
                              </w:rPr>
                              <w:t>Bridge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EA7E37" id="_x0000_s1028" type="#_x0000_t202" style="position:absolute;left:0;text-align:left;margin-left:0;margin-top:191.6pt;width:19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" filled="f" stroked="f">
                <v:textbox style="mso-fit-shape-to-text:t">
                  <w:txbxContent>
                    <w:p w14:paraId="5989F78B" w14:textId="1A33E995" w:rsidR="008C172E" w:rsidRPr="005432AC" w:rsidRDefault="008C172E" w:rsidP="008C172E">
                      <w:pPr>
                        <w:spacing w:after="0"/>
                        <w:jc w:val="center"/>
                      </w:pPr>
                      <w:r>
                        <w:t xml:space="preserve">Рис 3. Размещение информационной модели сооружения в модуле ИСОГД ИАС «Горизонт». Управление </w:t>
                      </w:r>
                      <w:r>
                        <w:rPr>
                          <w:lang w:val="en-US"/>
                        </w:rPr>
                        <w:t>BIM</w:t>
                      </w:r>
                      <w:r w:rsidRPr="002A5341">
                        <w:t xml:space="preserve"> </w:t>
                      </w:r>
                      <w:r>
                        <w:t xml:space="preserve">обеспечивается инструментальными средствами </w:t>
                      </w:r>
                      <w:proofErr w:type="spellStart"/>
                      <w:r>
                        <w:rPr>
                          <w:lang w:val="en-US"/>
                        </w:rPr>
                        <w:t>Inter</w:t>
                      </w:r>
                      <w:r w:rsidR="005432AC">
                        <w:rPr>
                          <w:lang w:val="en-US"/>
                        </w:rPr>
                        <w:t>Bridge</w:t>
                      </w:r>
                      <w:proofErr w:type="spellEnd"/>
                    </w:p>
                  </w:txbxContent>
                </v:textbox>
                <w10:wrap type="square"/>
              </v:shape>
            </w:pict>
          </mc:Fallback>
        </mc:AlternateContent>
      </w:r>
      <w:r w:rsidR="00BF312E">
        <w:t xml:space="preserve">Подобная интеграция позволит </w:t>
      </w:r>
      <w:r w:rsidR="00D144B7">
        <w:t>в</w:t>
      </w:r>
      <w:r w:rsidR="00BF312E">
        <w:t xml:space="preserve"> ИСОГД </w:t>
      </w:r>
      <w:r w:rsidR="00D144B7">
        <w:t xml:space="preserve">в разделе «Дела о земельных участках» размещать не только проектные документы объектов капитального строительства, но и информационные модели, используя эти данные при проведении экспертизы проектных решений. Или же создать на базе ИСОГД дополнительный раздел по типовым проектным решениям, которые могут быть использованы при строительстве социальных или инфраструктурных объектов. </w:t>
      </w:r>
      <w:r w:rsidR="00DF3EFF">
        <w:t xml:space="preserve">Такой подход позволит перейти от реестра документации типовых проектов к базе </w:t>
      </w:r>
      <w:r w:rsidR="00DF3EFF">
        <w:rPr>
          <w:lang w:val="en-US"/>
        </w:rPr>
        <w:t>BIM</w:t>
      </w:r>
      <w:r w:rsidR="00DF3EFF" w:rsidRPr="00DF3EFF">
        <w:t>-</w:t>
      </w:r>
      <w:r w:rsidR="00DF3EFF">
        <w:t>моделей типовых сооружений, которая используется при принятии решений о выборе проекта, сметных затратах на его сооружение, подготовке рабочей документации.</w:t>
      </w:r>
    </w:p>
    <w:p w14:paraId="5676C396" w14:textId="00797E7E" w:rsidR="007C4D79" w:rsidRDefault="007C4D79" w:rsidP="007C4D79">
      <w:pPr>
        <w:spacing w:after="0"/>
        <w:jc w:val="both"/>
      </w:pPr>
    </w:p>
    <w:p w14:paraId="63D48759" w14:textId="5E7B3295" w:rsidR="00CF0587" w:rsidRDefault="002A5341" w:rsidP="007C4D79">
      <w:pPr>
        <w:spacing w:after="0"/>
        <w:jc w:val="both"/>
      </w:pPr>
      <w:r>
        <w:t xml:space="preserve">Однако этими задачами совместное применение сведений системы обеспечения градостроительной деятельности и </w:t>
      </w:r>
      <w:r>
        <w:rPr>
          <w:lang w:val="en-US"/>
        </w:rPr>
        <w:t>BIM</w:t>
      </w:r>
      <w:r w:rsidRPr="002A5341">
        <w:t xml:space="preserve"> </w:t>
      </w:r>
      <w:r w:rsidR="0027661E">
        <w:t>не ограничивается.</w:t>
      </w:r>
    </w:p>
    <w:p w14:paraId="77071E05" w14:textId="77777777" w:rsidR="0027661E" w:rsidRDefault="0027661E" w:rsidP="007C4D79">
      <w:pPr>
        <w:spacing w:after="0"/>
        <w:jc w:val="both"/>
      </w:pPr>
    </w:p>
    <w:p w14:paraId="2A110660" w14:textId="77777777" w:rsidR="0027661E" w:rsidRPr="005432AC" w:rsidRDefault="00611A9B" w:rsidP="005432AC">
      <w:pPr>
        <w:spacing w:after="0"/>
        <w:jc w:val="both"/>
        <w:rPr>
          <w:i/>
        </w:rPr>
      </w:pPr>
      <w:r w:rsidRPr="005432AC">
        <w:rPr>
          <w:i/>
        </w:rPr>
        <w:t>«</w:t>
      </w:r>
      <w:r w:rsidR="002A5341" w:rsidRPr="005432AC">
        <w:rPr>
          <w:i/>
        </w:rPr>
        <w:t xml:space="preserve">Эта интеграция дает возможность перейти к решению задач управления инфраструктурой территории – получать из единой точки входа </w:t>
      </w:r>
      <w:r w:rsidR="002713FE" w:rsidRPr="005432AC">
        <w:rPr>
          <w:i/>
        </w:rPr>
        <w:t xml:space="preserve">описательные и пространственные </w:t>
      </w:r>
      <w:r w:rsidR="002A5341" w:rsidRPr="005432AC">
        <w:rPr>
          <w:i/>
        </w:rPr>
        <w:t>сведения о существующих и планируе</w:t>
      </w:r>
      <w:r w:rsidR="002713FE" w:rsidRPr="005432AC">
        <w:rPr>
          <w:i/>
        </w:rPr>
        <w:t>мых объектах и их компонентах; готовить государственные и муниципальные программы развития территории и инфраструктуры, включая в них мероприятия по конкретным объектам; целевым образом распределять бюджетные средства на обеспечение работы инфраструктурных объектов;</w:t>
      </w:r>
      <w:r w:rsidRPr="005432AC">
        <w:rPr>
          <w:i/>
        </w:rPr>
        <w:t xml:space="preserve"> </w:t>
      </w:r>
      <w:r w:rsidR="002713FE" w:rsidRPr="005432AC">
        <w:rPr>
          <w:i/>
        </w:rPr>
        <w:t>контролировать реализацию</w:t>
      </w:r>
      <w:r w:rsidR="0027661E" w:rsidRPr="005432AC">
        <w:rPr>
          <w:i/>
        </w:rPr>
        <w:t>»,</w:t>
      </w:r>
    </w:p>
    <w:p w14:paraId="6B594AAE" w14:textId="2540F2A3" w:rsidR="002A5341" w:rsidRPr="00166119" w:rsidRDefault="0027661E" w:rsidP="005432AC">
      <w:pPr>
        <w:spacing w:after="0"/>
        <w:jc w:val="right"/>
        <w:rPr>
          <w:b/>
        </w:rPr>
      </w:pPr>
      <w:r>
        <w:rPr>
          <w:i/>
        </w:rPr>
        <w:t xml:space="preserve">– </w:t>
      </w:r>
      <w:r w:rsidR="00611A9B">
        <w:rPr>
          <w:i/>
        </w:rPr>
        <w:t xml:space="preserve">комментирует </w:t>
      </w:r>
      <w:hyperlink r:id="rId10" w:anchor="resina" w:history="1">
        <w:r w:rsidR="00611A9B" w:rsidRPr="0027661E">
          <w:rPr>
            <w:rStyle w:val="a3"/>
            <w:b/>
            <w:i/>
          </w:rPr>
          <w:t>Наталья Резина</w:t>
        </w:r>
      </w:hyperlink>
      <w:r w:rsidR="00611A9B" w:rsidRPr="00166119">
        <w:rPr>
          <w:b/>
          <w:i/>
        </w:rPr>
        <w:t>, генеральный директор ООО «НЕОЛАНТ Запад» (офис ГК «НЕОЛАНТ» в Санкт-Петербурге).</w:t>
      </w:r>
      <w:r w:rsidR="002713FE" w:rsidRPr="00166119">
        <w:rPr>
          <w:b/>
        </w:rPr>
        <w:t xml:space="preserve"> </w:t>
      </w:r>
    </w:p>
    <w:p w14:paraId="31F5A1AE" w14:textId="77777777" w:rsidR="0027661E" w:rsidRDefault="0027661E" w:rsidP="007C4D79">
      <w:pPr>
        <w:spacing w:after="0"/>
        <w:jc w:val="both"/>
      </w:pPr>
    </w:p>
    <w:p w14:paraId="5B92DDE2" w14:textId="77777777" w:rsidR="00D144B7" w:rsidRDefault="002713FE" w:rsidP="007C4D79">
      <w:pPr>
        <w:spacing w:after="0"/>
        <w:jc w:val="both"/>
      </w:pPr>
      <w:r>
        <w:lastRenderedPageBreak/>
        <w:t xml:space="preserve">Перечисленные </w:t>
      </w:r>
      <w:r w:rsidR="00DF3EFF">
        <w:t xml:space="preserve">задачи могут быть решены на базе программных продуктов группы компаний </w:t>
      </w:r>
      <w:r w:rsidR="00611A9B">
        <w:t>«</w:t>
      </w:r>
      <w:r w:rsidR="00DF3EFF">
        <w:t>НЕОЛАНТ</w:t>
      </w:r>
      <w:r w:rsidR="00611A9B">
        <w:t>»</w:t>
      </w:r>
      <w:r w:rsidR="00DF3EFF">
        <w:t>:</w:t>
      </w:r>
    </w:p>
    <w:p w14:paraId="2C571DDD" w14:textId="72C989FA" w:rsidR="00611A9B" w:rsidRPr="00166119" w:rsidRDefault="005432AC" w:rsidP="007C4D79">
      <w:pPr>
        <w:pStyle w:val="a4"/>
        <w:numPr>
          <w:ilvl w:val="0"/>
          <w:numId w:val="1"/>
        </w:numPr>
        <w:spacing w:after="0"/>
        <w:jc w:val="both"/>
        <w:rPr>
          <w:lang w:val="en-US"/>
        </w:rPr>
      </w:pPr>
      <w:hyperlink r:id="rId11" w:history="1">
        <w:proofErr w:type="spellStart"/>
        <w:r w:rsidR="00611A9B" w:rsidRPr="0027661E">
          <w:rPr>
            <w:rStyle w:val="a3"/>
            <w:b/>
            <w:bCs/>
          </w:rPr>
          <w:t>InterBridge</w:t>
        </w:r>
        <w:proofErr w:type="spellEnd"/>
      </w:hyperlink>
      <w:r w:rsidR="00611A9B" w:rsidRPr="00611A9B">
        <w:rPr>
          <w:b/>
        </w:rPr>
        <w:t xml:space="preserve"> </w:t>
      </w:r>
      <w:r w:rsidR="00611A9B" w:rsidRPr="00166119">
        <w:t>–</w:t>
      </w:r>
      <w:r w:rsidR="00611A9B" w:rsidRPr="00611A9B">
        <w:rPr>
          <w:b/>
        </w:rPr>
        <w:t xml:space="preserve"> </w:t>
      </w:r>
      <w:r w:rsidR="00611A9B" w:rsidRPr="00166119">
        <w:t xml:space="preserve">программный продукт для оперативной трансляции графических и семантических 2D/3D данных между </w:t>
      </w:r>
      <w:hyperlink r:id="rId12" w:history="1">
        <w:r w:rsidR="00611A9B" w:rsidRPr="00166119">
          <w:rPr>
            <w:rStyle w:val="a3"/>
          </w:rPr>
          <w:t>САПР</w:t>
        </w:r>
      </w:hyperlink>
      <w:r w:rsidR="00611A9B" w:rsidRPr="00166119">
        <w:t xml:space="preserve"> и </w:t>
      </w:r>
      <w:hyperlink r:id="rId13" w:history="1">
        <w:r w:rsidR="00611A9B" w:rsidRPr="00166119">
          <w:rPr>
            <w:rStyle w:val="a3"/>
          </w:rPr>
          <w:t>PLM</w:t>
        </w:r>
      </w:hyperlink>
      <w:r w:rsidR="00611A9B" w:rsidRPr="00166119">
        <w:t xml:space="preserve"> различных платформ, позволяющий формировать и просматривать единую 2D/3D модель объектов.</w:t>
      </w:r>
    </w:p>
    <w:p w14:paraId="10D0E0E5" w14:textId="2E24C781" w:rsidR="00DF3EFF" w:rsidRPr="00DF3EFF" w:rsidRDefault="005432AC" w:rsidP="007C4D79">
      <w:pPr>
        <w:pStyle w:val="a4"/>
        <w:numPr>
          <w:ilvl w:val="0"/>
          <w:numId w:val="1"/>
        </w:numPr>
        <w:spacing w:after="0"/>
        <w:jc w:val="both"/>
      </w:pPr>
      <w:hyperlink r:id="rId14" w:history="1">
        <w:r w:rsidR="00611A9B" w:rsidRPr="0027661E">
          <w:rPr>
            <w:rStyle w:val="a3"/>
            <w:b/>
          </w:rPr>
          <w:t>ИАС «</w:t>
        </w:r>
        <w:r w:rsidR="00DF3EFF" w:rsidRPr="0027661E">
          <w:rPr>
            <w:rStyle w:val="a3"/>
            <w:b/>
          </w:rPr>
          <w:t>Горизонт</w:t>
        </w:r>
        <w:r w:rsidR="00611A9B" w:rsidRPr="0027661E">
          <w:rPr>
            <w:rStyle w:val="a3"/>
            <w:b/>
          </w:rPr>
          <w:t>»</w:t>
        </w:r>
      </w:hyperlink>
      <w:r w:rsidR="00DF3EFF">
        <w:t xml:space="preserve"> </w:t>
      </w:r>
      <w:r w:rsidR="0063381E" w:rsidRPr="00AF3963">
        <w:t>–</w:t>
      </w:r>
      <w:r w:rsidR="00DF3EFF">
        <w:t xml:space="preserve"> информационно-аналитическая система пространственного развития, в состав которой вход</w:t>
      </w:r>
      <w:r w:rsidR="0063381E">
        <w:t>я</w:t>
      </w:r>
      <w:r w:rsidR="00DF3EFF">
        <w:t>т модули</w:t>
      </w:r>
      <w:r w:rsidR="0063381E">
        <w:t>:</w:t>
      </w:r>
      <w:r w:rsidR="00DF3EFF">
        <w:t xml:space="preserve"> ИСОГД, Строительство и реконструкция объектов капитального строительства.</w:t>
      </w:r>
      <w:r w:rsidR="00CC4E27">
        <w:t xml:space="preserve"> ИАС «Горизонт» предназначен</w:t>
      </w:r>
      <w:r w:rsidR="0063381E">
        <w:t>а</w:t>
      </w:r>
      <w:r w:rsidR="00CC4E27">
        <w:t xml:space="preserve"> для решения операционных задач по направлениям, связанным с управлением пространственными объектами (например, архитектура и строительство, земельно-имущественный комплекс, природопользование и т.п.)</w:t>
      </w:r>
      <w:r w:rsidR="0063381E">
        <w:t>.</w:t>
      </w:r>
    </w:p>
    <w:p w14:paraId="54066F36" w14:textId="77777777" w:rsidR="0027661E" w:rsidRDefault="0027661E" w:rsidP="007C4D79">
      <w:pPr>
        <w:spacing w:after="0"/>
        <w:jc w:val="both"/>
      </w:pPr>
    </w:p>
    <w:p w14:paraId="38507693" w14:textId="1DD3E196" w:rsidR="00BF312E" w:rsidRDefault="00CC4E27" w:rsidP="007C4D79">
      <w:pPr>
        <w:spacing w:after="0"/>
        <w:jc w:val="both"/>
      </w:pPr>
      <w:r>
        <w:t>Уже сегодня выполнена интеграция этих продуктов, которая стала</w:t>
      </w:r>
      <w:r w:rsidR="00DF3EFF">
        <w:t xml:space="preserve"> возможн</w:t>
      </w:r>
      <w:r>
        <w:t>ой</w:t>
      </w:r>
      <w:r w:rsidR="00DF3EFF">
        <w:t xml:space="preserve"> благодаря </w:t>
      </w:r>
      <w:r>
        <w:t xml:space="preserve">работам компании </w:t>
      </w:r>
      <w:r w:rsidR="000F4D4D">
        <w:t xml:space="preserve">«НЕОЛАНТ» </w:t>
      </w:r>
      <w:r>
        <w:t>по созданию систем управления жизненным циклом инфраструктурных объектов, в основе которых лежат информационные модели объектов</w:t>
      </w:r>
      <w:r w:rsidR="000F4D4D">
        <w:t>,</w:t>
      </w:r>
      <w:r>
        <w:t xml:space="preserve"> объединя</w:t>
      </w:r>
      <w:r w:rsidR="0063381E">
        <w:t>ю</w:t>
      </w:r>
      <w:r w:rsidR="000F4D4D">
        <w:t>щие</w:t>
      </w:r>
      <w:r>
        <w:t xml:space="preserve"> в едином актуальном и структурированном электронном хранилище всю информацию об объекте.</w:t>
      </w:r>
    </w:p>
    <w:p w14:paraId="15E5522C" w14:textId="77777777" w:rsidR="0027661E" w:rsidRDefault="0027661E" w:rsidP="007C4D79">
      <w:pPr>
        <w:spacing w:after="0"/>
        <w:jc w:val="both"/>
      </w:pPr>
    </w:p>
    <w:p w14:paraId="4D97B201" w14:textId="08DFD336" w:rsidR="000F4D4D" w:rsidRDefault="00CC4E27" w:rsidP="007C4D79">
      <w:pPr>
        <w:spacing w:after="0"/>
        <w:jc w:val="both"/>
      </w:pPr>
      <w:r>
        <w:t xml:space="preserve">О решениях компании и практике применения информационных моделей </w:t>
      </w:r>
      <w:r w:rsidR="0063381E">
        <w:t>можно будет узнать</w:t>
      </w:r>
      <w:r>
        <w:t xml:space="preserve"> </w:t>
      </w:r>
      <w:r w:rsidR="0063381E">
        <w:t xml:space="preserve">подробнее </w:t>
      </w:r>
      <w:r w:rsidR="000F4D4D">
        <w:t xml:space="preserve">20 апреля 2016 года в Конгресс-центре Правительства Москвы </w:t>
      </w:r>
      <w:r>
        <w:t xml:space="preserve">на </w:t>
      </w:r>
      <w:r w:rsidR="000F4D4D">
        <w:rPr>
          <w:lang w:val="en-US"/>
        </w:rPr>
        <w:t>II</w:t>
      </w:r>
      <w:r w:rsidR="000F4D4D" w:rsidRPr="00166119">
        <w:t xml:space="preserve"> </w:t>
      </w:r>
      <w:r w:rsidR="0063381E">
        <w:t>И</w:t>
      </w:r>
      <w:r w:rsidR="000F4D4D">
        <w:t xml:space="preserve">нформационно-технологическом </w:t>
      </w:r>
      <w:r w:rsidR="0063381E">
        <w:t>ф</w:t>
      </w:r>
      <w:r w:rsidR="000F4D4D">
        <w:t xml:space="preserve">оруме </w:t>
      </w:r>
      <w:r>
        <w:t>«</w:t>
      </w:r>
      <w:hyperlink r:id="rId15" w:history="1">
        <w:r w:rsidR="0063381E" w:rsidRPr="0027661E">
          <w:rPr>
            <w:rStyle w:val="a3"/>
          </w:rPr>
          <w:t xml:space="preserve">МНОГОМЕРНАЯ </w:t>
        </w:r>
        <w:r w:rsidRPr="0027661E">
          <w:rPr>
            <w:rStyle w:val="a3"/>
          </w:rPr>
          <w:t>Р</w:t>
        </w:r>
        <w:r w:rsidR="0063381E" w:rsidRPr="0027661E">
          <w:rPr>
            <w:rStyle w:val="a3"/>
          </w:rPr>
          <w:t>ОССИЯ</w:t>
        </w:r>
      </w:hyperlink>
      <w:r>
        <w:t>»</w:t>
      </w:r>
      <w:r w:rsidR="000F4D4D">
        <w:t>.</w:t>
      </w:r>
    </w:p>
    <w:p w14:paraId="0DB68641" w14:textId="77777777" w:rsidR="0027661E" w:rsidRDefault="0027661E" w:rsidP="007C4D79">
      <w:pPr>
        <w:spacing w:after="0"/>
        <w:jc w:val="both"/>
      </w:pPr>
    </w:p>
    <w:p w14:paraId="4F94AB67" w14:textId="1120BF3E" w:rsidR="000F4D4D" w:rsidRPr="005432AC" w:rsidRDefault="005432AC" w:rsidP="007C4D79">
      <w:pPr>
        <w:spacing w:after="0"/>
        <w:jc w:val="both"/>
        <w:rPr>
          <w:b/>
          <w:i/>
        </w:rPr>
      </w:pPr>
      <w:hyperlink r:id="rId16" w:history="1">
        <w:r w:rsidRPr="005432AC">
          <w:rPr>
            <w:rStyle w:val="a3"/>
            <w:b/>
          </w:rPr>
          <w:t>Зарегистрироваться</w:t>
        </w:r>
      </w:hyperlink>
    </w:p>
    <w:p w14:paraId="6B081F4F" w14:textId="77777777" w:rsidR="008C172E" w:rsidRDefault="008C172E" w:rsidP="007C4D79">
      <w:pPr>
        <w:spacing w:after="0"/>
        <w:jc w:val="both"/>
      </w:pPr>
    </w:p>
    <w:p w14:paraId="20DB75F9" w14:textId="77777777" w:rsidR="005432AC" w:rsidRPr="003B7569" w:rsidRDefault="005432AC" w:rsidP="005432AC">
      <w:pPr>
        <w:pStyle w:val="ac"/>
        <w:spacing w:before="0" w:beforeAutospacing="0" w:after="0" w:afterAutospacing="0"/>
        <w:jc w:val="both"/>
        <w:rPr>
          <w:rFonts w:asciiTheme="minorHAnsi" w:hAnsiTheme="minorHAnsi"/>
          <w:sz w:val="22"/>
          <w:szCs w:val="22"/>
        </w:rPr>
      </w:pPr>
      <w:r w:rsidRPr="003B7569">
        <w:rPr>
          <w:rFonts w:asciiTheme="minorHAnsi" w:hAnsiTheme="minorHAnsi"/>
          <w:noProof/>
          <w:color w:val="0000FF"/>
          <w:sz w:val="22"/>
          <w:szCs w:val="22"/>
        </w:rPr>
        <w:drawing>
          <wp:inline distT="0" distB="0" distL="0" distR="0" wp14:anchorId="2B19B78F" wp14:editId="14A3C1BE">
            <wp:extent cx="4762500" cy="990600"/>
            <wp:effectExtent l="0" t="0" r="0" b="0"/>
            <wp:docPr id="3" name="Рисунок 3" descr="http://neolant.ru/upload/20160216/banner.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olant.ru/upload/20160216/banner.jpg">
                      <a:hlinkClick r:id="rId15"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0" cy="990600"/>
                    </a:xfrm>
                    <a:prstGeom prst="rect">
                      <a:avLst/>
                    </a:prstGeom>
                    <a:noFill/>
                    <a:ln>
                      <a:noFill/>
                    </a:ln>
                  </pic:spPr>
                </pic:pic>
              </a:graphicData>
            </a:graphic>
          </wp:inline>
        </w:drawing>
      </w:r>
    </w:p>
    <w:p w14:paraId="1E49A4B4" w14:textId="77777777" w:rsidR="005432AC" w:rsidRPr="003B7569" w:rsidRDefault="005432AC" w:rsidP="005432AC">
      <w:pPr>
        <w:pStyle w:val="ac"/>
        <w:spacing w:before="0" w:beforeAutospacing="0" w:after="0" w:afterAutospacing="0"/>
        <w:jc w:val="center"/>
        <w:rPr>
          <w:rFonts w:asciiTheme="minorHAnsi" w:hAnsiTheme="minorHAnsi"/>
          <w:b/>
          <w:bCs/>
          <w:sz w:val="22"/>
          <w:szCs w:val="22"/>
        </w:rPr>
      </w:pPr>
    </w:p>
    <w:p w14:paraId="0A405FAA" w14:textId="77777777" w:rsidR="005432AC" w:rsidRPr="003B7569" w:rsidRDefault="005432AC" w:rsidP="005432AC">
      <w:pPr>
        <w:pStyle w:val="ac"/>
        <w:spacing w:before="0" w:beforeAutospacing="0" w:after="0" w:afterAutospacing="0"/>
        <w:jc w:val="center"/>
        <w:rPr>
          <w:rFonts w:asciiTheme="minorHAnsi" w:hAnsiTheme="minorHAnsi"/>
          <w:sz w:val="22"/>
          <w:szCs w:val="22"/>
        </w:rPr>
      </w:pPr>
      <w:r w:rsidRPr="003B7569">
        <w:rPr>
          <w:rFonts w:asciiTheme="minorHAnsi" w:hAnsiTheme="minorHAnsi"/>
          <w:b/>
          <w:bCs/>
          <w:sz w:val="22"/>
          <w:szCs w:val="22"/>
        </w:rPr>
        <w:t>***</w:t>
      </w:r>
    </w:p>
    <w:p w14:paraId="62A2C12A" w14:textId="77777777" w:rsidR="005432AC" w:rsidRPr="003B7569" w:rsidRDefault="005432AC" w:rsidP="005432AC">
      <w:pPr>
        <w:pStyle w:val="ac"/>
        <w:spacing w:before="0" w:beforeAutospacing="0" w:after="0" w:afterAutospacing="0"/>
        <w:rPr>
          <w:rFonts w:asciiTheme="minorHAnsi" w:hAnsiTheme="minorHAnsi"/>
          <w:sz w:val="22"/>
          <w:szCs w:val="22"/>
        </w:rPr>
      </w:pPr>
      <w:r w:rsidRPr="003B7569">
        <w:rPr>
          <w:rFonts w:asciiTheme="minorHAnsi" w:hAnsiTheme="minorHAnsi"/>
          <w:b/>
          <w:bCs/>
          <w:i/>
          <w:iCs/>
          <w:sz w:val="22"/>
          <w:szCs w:val="22"/>
        </w:rPr>
        <w:t xml:space="preserve">Всегда свежие и актуальные новости информатизации регионов – </w:t>
      </w:r>
      <w:hyperlink r:id="rId18" w:tgtFrame="_blank" w:history="1">
        <w:r w:rsidRPr="003B7569">
          <w:rPr>
            <w:rStyle w:val="a3"/>
            <w:rFonts w:asciiTheme="minorHAnsi" w:hAnsiTheme="minorHAnsi"/>
            <w:b/>
            <w:bCs/>
            <w:i/>
            <w:iCs/>
            <w:sz w:val="22"/>
            <w:szCs w:val="22"/>
          </w:rPr>
          <w:t>it-region.lj.ru</w:t>
        </w:r>
      </w:hyperlink>
    </w:p>
    <w:p w14:paraId="18D9623E" w14:textId="77777777" w:rsidR="005432AC" w:rsidRPr="003B7569" w:rsidRDefault="005432AC" w:rsidP="005432AC">
      <w:pPr>
        <w:pStyle w:val="ac"/>
        <w:spacing w:before="0" w:beforeAutospacing="0" w:after="0" w:afterAutospacing="0"/>
        <w:rPr>
          <w:rFonts w:asciiTheme="minorHAnsi" w:hAnsiTheme="minorHAnsi"/>
          <w:sz w:val="22"/>
          <w:szCs w:val="22"/>
        </w:rPr>
      </w:pPr>
    </w:p>
    <w:p w14:paraId="669AB345" w14:textId="77777777" w:rsidR="005432AC" w:rsidRPr="003B7569" w:rsidRDefault="005432AC" w:rsidP="005432AC">
      <w:pPr>
        <w:pStyle w:val="ac"/>
        <w:spacing w:before="0" w:beforeAutospacing="0" w:after="0" w:afterAutospacing="0"/>
        <w:jc w:val="both"/>
        <w:rPr>
          <w:rFonts w:asciiTheme="minorHAnsi" w:hAnsiTheme="minorHAnsi"/>
          <w:sz w:val="22"/>
          <w:szCs w:val="22"/>
        </w:rPr>
      </w:pPr>
      <w:r w:rsidRPr="003B7569">
        <w:rPr>
          <w:rFonts w:asciiTheme="minorHAnsi" w:hAnsiTheme="minorHAnsi"/>
          <w:sz w:val="22"/>
          <w:szCs w:val="22"/>
        </w:rPr>
        <w:t xml:space="preserve"> </w:t>
      </w:r>
    </w:p>
    <w:p w14:paraId="57DC5A99" w14:textId="77777777" w:rsidR="005432AC" w:rsidRPr="003B7569" w:rsidRDefault="005432AC" w:rsidP="005432AC">
      <w:pPr>
        <w:tabs>
          <w:tab w:val="left" w:pos="2625"/>
        </w:tabs>
        <w:spacing w:after="0" w:line="240" w:lineRule="auto"/>
        <w:jc w:val="center"/>
      </w:pPr>
      <w:r w:rsidRPr="003B7569">
        <w:t>***</w:t>
      </w:r>
    </w:p>
    <w:p w14:paraId="3B8C7513" w14:textId="77777777" w:rsidR="005432AC" w:rsidRPr="003B7569" w:rsidRDefault="005432AC" w:rsidP="005432AC">
      <w:pPr>
        <w:tabs>
          <w:tab w:val="left" w:pos="2625"/>
        </w:tabs>
        <w:spacing w:after="0" w:line="240" w:lineRule="auto"/>
        <w:jc w:val="center"/>
      </w:pPr>
    </w:p>
    <w:p w14:paraId="16743D69" w14:textId="77777777" w:rsidR="005432AC" w:rsidRPr="003B7569" w:rsidRDefault="005432AC" w:rsidP="005432AC">
      <w:pPr>
        <w:spacing w:after="0" w:line="240" w:lineRule="auto"/>
        <w:jc w:val="both"/>
        <w:rPr>
          <w:rFonts w:cs="Times New Roman"/>
          <w:b/>
        </w:rPr>
      </w:pPr>
      <w:r w:rsidRPr="003B7569">
        <w:rPr>
          <w:rFonts w:cs="Times New Roman"/>
          <w:b/>
        </w:rPr>
        <w:t>Контакты для прессы:</w:t>
      </w:r>
    </w:p>
    <w:p w14:paraId="0464A104" w14:textId="77777777" w:rsidR="005432AC" w:rsidRPr="003B7569" w:rsidRDefault="005432AC" w:rsidP="005432AC">
      <w:pPr>
        <w:spacing w:after="0" w:line="240" w:lineRule="auto"/>
        <w:jc w:val="both"/>
        <w:rPr>
          <w:rFonts w:cs="Times New Roman"/>
        </w:rPr>
      </w:pPr>
      <w:r w:rsidRPr="003B7569">
        <w:rPr>
          <w:rFonts w:cs="Times New Roman"/>
        </w:rPr>
        <w:t>Сорокина Мария</w:t>
      </w:r>
    </w:p>
    <w:p w14:paraId="2381CEF3" w14:textId="77777777" w:rsidR="005432AC" w:rsidRPr="003B7569" w:rsidRDefault="005432AC" w:rsidP="005432AC">
      <w:pPr>
        <w:spacing w:after="0" w:line="240" w:lineRule="auto"/>
        <w:jc w:val="both"/>
        <w:rPr>
          <w:rFonts w:cs="Times New Roman"/>
        </w:rPr>
      </w:pPr>
      <w:r w:rsidRPr="003B7569">
        <w:rPr>
          <w:rFonts w:cs="Times New Roman"/>
        </w:rPr>
        <w:t>Руководитель PR-группы</w:t>
      </w:r>
    </w:p>
    <w:p w14:paraId="45ED1878" w14:textId="77777777" w:rsidR="005432AC" w:rsidRPr="003B7569" w:rsidRDefault="005432AC" w:rsidP="005432AC">
      <w:pPr>
        <w:spacing w:after="0" w:line="240" w:lineRule="auto"/>
        <w:jc w:val="both"/>
        <w:rPr>
          <w:rFonts w:cs="Times New Roman"/>
        </w:rPr>
      </w:pPr>
      <w:r w:rsidRPr="003B7569">
        <w:rPr>
          <w:rFonts w:cs="Times New Roman"/>
        </w:rPr>
        <w:t xml:space="preserve">Департамент маркетинга. </w:t>
      </w:r>
      <w:r w:rsidRPr="003B7569">
        <w:rPr>
          <w:rFonts w:cs="Times New Roman"/>
          <w:lang w:val="en-US"/>
        </w:rPr>
        <w:t>PR</w:t>
      </w:r>
      <w:r w:rsidRPr="003B7569">
        <w:rPr>
          <w:rFonts w:cs="Times New Roman"/>
        </w:rPr>
        <w:t>-группа</w:t>
      </w:r>
    </w:p>
    <w:p w14:paraId="33D0856B" w14:textId="77777777" w:rsidR="005432AC" w:rsidRPr="003B7569" w:rsidRDefault="005432AC" w:rsidP="005432AC">
      <w:pPr>
        <w:spacing w:after="0" w:line="240" w:lineRule="auto"/>
        <w:jc w:val="both"/>
        <w:rPr>
          <w:rFonts w:cs="Times New Roman"/>
        </w:rPr>
      </w:pPr>
      <w:r w:rsidRPr="003B7569">
        <w:rPr>
          <w:rFonts w:cs="Times New Roman"/>
        </w:rPr>
        <w:t>АО «НЕОЛАНТ»</w:t>
      </w:r>
    </w:p>
    <w:p w14:paraId="619B1AD5" w14:textId="77777777" w:rsidR="005432AC" w:rsidRPr="003B7569" w:rsidRDefault="005432AC" w:rsidP="005432AC">
      <w:pPr>
        <w:spacing w:after="0" w:line="240" w:lineRule="auto"/>
        <w:jc w:val="both"/>
        <w:rPr>
          <w:rFonts w:cs="Times New Roman"/>
        </w:rPr>
      </w:pPr>
    </w:p>
    <w:p w14:paraId="166149BA" w14:textId="77777777" w:rsidR="005432AC" w:rsidRPr="003B7569" w:rsidRDefault="005432AC" w:rsidP="005432AC">
      <w:pPr>
        <w:spacing w:after="0" w:line="240" w:lineRule="auto"/>
        <w:jc w:val="both"/>
        <w:rPr>
          <w:rFonts w:cs="Times New Roman"/>
        </w:rPr>
      </w:pPr>
      <w:r w:rsidRPr="003B7569">
        <w:rPr>
          <w:rFonts w:cs="Times New Roman"/>
        </w:rPr>
        <w:t>Тел./факс: +7 (499) 999 0000 *174</w:t>
      </w:r>
    </w:p>
    <w:p w14:paraId="2D563113" w14:textId="77777777" w:rsidR="005432AC" w:rsidRPr="003B7569" w:rsidRDefault="005432AC" w:rsidP="005432AC">
      <w:pPr>
        <w:spacing w:after="0" w:line="240" w:lineRule="auto"/>
        <w:jc w:val="both"/>
        <w:rPr>
          <w:rFonts w:cs="Times New Roman"/>
        </w:rPr>
      </w:pPr>
      <w:proofErr w:type="gramStart"/>
      <w:r w:rsidRPr="003B7569">
        <w:rPr>
          <w:rFonts w:cs="Times New Roman"/>
        </w:rPr>
        <w:t>Моб.:</w:t>
      </w:r>
      <w:proofErr w:type="gramEnd"/>
      <w:r w:rsidRPr="003B7569">
        <w:rPr>
          <w:rFonts w:cs="Times New Roman"/>
        </w:rPr>
        <w:t xml:space="preserve"> +7 (985) 454-13-60</w:t>
      </w:r>
    </w:p>
    <w:p w14:paraId="5EA56AD6" w14:textId="77777777" w:rsidR="005432AC" w:rsidRPr="003B7569" w:rsidRDefault="005432AC" w:rsidP="005432AC">
      <w:pPr>
        <w:spacing w:after="0" w:line="240" w:lineRule="auto"/>
        <w:jc w:val="both"/>
        <w:rPr>
          <w:rFonts w:cs="Times New Roman"/>
        </w:rPr>
      </w:pPr>
      <w:hyperlink r:id="rId19" w:history="1">
        <w:r w:rsidRPr="003B7569">
          <w:rPr>
            <w:rStyle w:val="a3"/>
            <w:rFonts w:cs="Times New Roman"/>
            <w:lang w:val="en-US"/>
          </w:rPr>
          <w:t>sorokina</w:t>
        </w:r>
        <w:r w:rsidRPr="003B7569">
          <w:rPr>
            <w:rStyle w:val="a3"/>
            <w:rFonts w:cs="Times New Roman"/>
          </w:rPr>
          <w:t>@</w:t>
        </w:r>
        <w:r w:rsidRPr="003B7569">
          <w:rPr>
            <w:rStyle w:val="a3"/>
            <w:rFonts w:cs="Times New Roman"/>
            <w:lang w:val="en-US"/>
          </w:rPr>
          <w:t>neolant</w:t>
        </w:r>
        <w:r w:rsidRPr="003B7569">
          <w:rPr>
            <w:rStyle w:val="a3"/>
            <w:rFonts w:cs="Times New Roman"/>
          </w:rPr>
          <w:t>.</w:t>
        </w:r>
        <w:proofErr w:type="spellStart"/>
        <w:r w:rsidRPr="003B7569">
          <w:rPr>
            <w:rStyle w:val="a3"/>
            <w:rFonts w:cs="Times New Roman"/>
            <w:lang w:val="en-US"/>
          </w:rPr>
          <w:t>ru</w:t>
        </w:r>
        <w:proofErr w:type="spellEnd"/>
      </w:hyperlink>
    </w:p>
    <w:p w14:paraId="30556ECA" w14:textId="7600716B" w:rsidR="005432AC" w:rsidRDefault="005432AC" w:rsidP="005432AC">
      <w:pPr>
        <w:spacing w:after="0" w:line="240" w:lineRule="auto"/>
        <w:jc w:val="both"/>
      </w:pPr>
      <w:hyperlink r:id="rId20" w:history="1">
        <w:r w:rsidRPr="003B7569">
          <w:rPr>
            <w:rStyle w:val="a3"/>
            <w:rFonts w:cs="Times New Roman"/>
            <w:lang w:val="en-US"/>
          </w:rPr>
          <w:t>www</w:t>
        </w:r>
        <w:r w:rsidRPr="003B7569">
          <w:rPr>
            <w:rStyle w:val="a3"/>
            <w:rFonts w:cs="Times New Roman"/>
          </w:rPr>
          <w:t>.</w:t>
        </w:r>
        <w:proofErr w:type="spellStart"/>
        <w:r w:rsidRPr="003B7569">
          <w:rPr>
            <w:rStyle w:val="a3"/>
            <w:rFonts w:cs="Times New Roman"/>
            <w:lang w:val="en-US"/>
          </w:rPr>
          <w:t>neolant</w:t>
        </w:r>
        <w:proofErr w:type="spellEnd"/>
        <w:r w:rsidRPr="003B7569">
          <w:rPr>
            <w:rStyle w:val="a3"/>
            <w:rFonts w:cs="Times New Roman"/>
          </w:rPr>
          <w:t>.</w:t>
        </w:r>
        <w:proofErr w:type="spellStart"/>
        <w:r w:rsidRPr="003B7569">
          <w:rPr>
            <w:rStyle w:val="a3"/>
            <w:rFonts w:cs="Times New Roman"/>
            <w:lang w:val="en-US"/>
          </w:rPr>
          <w:t>ru</w:t>
        </w:r>
        <w:proofErr w:type="spellEnd"/>
      </w:hyperlink>
      <w:bookmarkStart w:id="0" w:name="_GoBack"/>
      <w:bookmarkEnd w:id="0"/>
    </w:p>
    <w:sectPr w:rsidR="005432AC" w:rsidSect="005432AC">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05712"/>
    <w:multiLevelType w:val="hybridMultilevel"/>
    <w:tmpl w:val="10780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2E"/>
    <w:rsid w:val="000F4D4D"/>
    <w:rsid w:val="00166119"/>
    <w:rsid w:val="002126FF"/>
    <w:rsid w:val="002713FE"/>
    <w:rsid w:val="0027661E"/>
    <w:rsid w:val="002A5341"/>
    <w:rsid w:val="004E1C6A"/>
    <w:rsid w:val="005432AC"/>
    <w:rsid w:val="005F1C1E"/>
    <w:rsid w:val="00611A9B"/>
    <w:rsid w:val="0063381E"/>
    <w:rsid w:val="006F75DA"/>
    <w:rsid w:val="007C4D79"/>
    <w:rsid w:val="008C172E"/>
    <w:rsid w:val="009231E2"/>
    <w:rsid w:val="00BF312E"/>
    <w:rsid w:val="00C54819"/>
    <w:rsid w:val="00CC4E27"/>
    <w:rsid w:val="00CF0587"/>
    <w:rsid w:val="00D144B7"/>
    <w:rsid w:val="00DF3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FEB3"/>
  <w15:chartTrackingRefBased/>
  <w15:docId w15:val="{77F2EEA0-1303-49D8-B2D4-9C8C0CCD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12E"/>
    <w:rPr>
      <w:color w:val="0563C1" w:themeColor="hyperlink"/>
      <w:u w:val="single"/>
    </w:rPr>
  </w:style>
  <w:style w:type="character" w:customStyle="1" w:styleId="apple-converted-space">
    <w:name w:val="apple-converted-space"/>
    <w:basedOn w:val="a0"/>
    <w:rsid w:val="00BF312E"/>
  </w:style>
  <w:style w:type="paragraph" w:styleId="a4">
    <w:name w:val="List Paragraph"/>
    <w:basedOn w:val="a"/>
    <w:uiPriority w:val="34"/>
    <w:qFormat/>
    <w:rsid w:val="00DF3EFF"/>
    <w:pPr>
      <w:ind w:left="720"/>
      <w:contextualSpacing/>
    </w:pPr>
  </w:style>
  <w:style w:type="paragraph" w:styleId="a5">
    <w:name w:val="Balloon Text"/>
    <w:basedOn w:val="a"/>
    <w:link w:val="a6"/>
    <w:uiPriority w:val="99"/>
    <w:semiHidden/>
    <w:unhideWhenUsed/>
    <w:rsid w:val="006F75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75DA"/>
    <w:rPr>
      <w:rFonts w:ascii="Segoe UI" w:hAnsi="Segoe UI" w:cs="Segoe UI"/>
      <w:sz w:val="18"/>
      <w:szCs w:val="18"/>
    </w:rPr>
  </w:style>
  <w:style w:type="character" w:styleId="a7">
    <w:name w:val="annotation reference"/>
    <w:basedOn w:val="a0"/>
    <w:uiPriority w:val="99"/>
    <w:semiHidden/>
    <w:unhideWhenUsed/>
    <w:rsid w:val="004E1C6A"/>
    <w:rPr>
      <w:sz w:val="16"/>
      <w:szCs w:val="16"/>
    </w:rPr>
  </w:style>
  <w:style w:type="paragraph" w:styleId="a8">
    <w:name w:val="annotation text"/>
    <w:basedOn w:val="a"/>
    <w:link w:val="a9"/>
    <w:uiPriority w:val="99"/>
    <w:semiHidden/>
    <w:unhideWhenUsed/>
    <w:rsid w:val="004E1C6A"/>
    <w:pPr>
      <w:spacing w:line="240" w:lineRule="auto"/>
    </w:pPr>
    <w:rPr>
      <w:sz w:val="20"/>
      <w:szCs w:val="20"/>
    </w:rPr>
  </w:style>
  <w:style w:type="character" w:customStyle="1" w:styleId="a9">
    <w:name w:val="Текст примечания Знак"/>
    <w:basedOn w:val="a0"/>
    <w:link w:val="a8"/>
    <w:uiPriority w:val="99"/>
    <w:semiHidden/>
    <w:rsid w:val="004E1C6A"/>
    <w:rPr>
      <w:sz w:val="20"/>
      <w:szCs w:val="20"/>
    </w:rPr>
  </w:style>
  <w:style w:type="paragraph" w:styleId="aa">
    <w:name w:val="annotation subject"/>
    <w:basedOn w:val="a8"/>
    <w:next w:val="a8"/>
    <w:link w:val="ab"/>
    <w:uiPriority w:val="99"/>
    <w:semiHidden/>
    <w:unhideWhenUsed/>
    <w:rsid w:val="004E1C6A"/>
    <w:rPr>
      <w:b/>
      <w:bCs/>
    </w:rPr>
  </w:style>
  <w:style w:type="character" w:customStyle="1" w:styleId="ab">
    <w:name w:val="Тема примечания Знак"/>
    <w:basedOn w:val="a9"/>
    <w:link w:val="aa"/>
    <w:uiPriority w:val="99"/>
    <w:semiHidden/>
    <w:rsid w:val="004E1C6A"/>
    <w:rPr>
      <w:b/>
      <w:bCs/>
      <w:sz w:val="20"/>
      <w:szCs w:val="20"/>
    </w:rPr>
  </w:style>
  <w:style w:type="paragraph" w:styleId="ac">
    <w:name w:val="Normal (Web)"/>
    <w:basedOn w:val="a"/>
    <w:uiPriority w:val="99"/>
    <w:unhideWhenUsed/>
    <w:rsid w:val="005432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eolant.ru/technologies/plm.php" TargetMode="External"/><Relationship Id="rId18" Type="http://schemas.openxmlformats.org/officeDocument/2006/relationships/hyperlink" Target="http://it-region.livejourn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eolant.ru/technologies/info_model/" TargetMode="External"/><Relationship Id="rId12" Type="http://schemas.openxmlformats.org/officeDocument/2006/relationships/hyperlink" Target="http://neolant.ru/technologies/sapr/"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imodel-russia.com/conf2016/registration/" TargetMode="External"/><Relationship Id="rId20" Type="http://schemas.openxmlformats.org/officeDocument/2006/relationships/hyperlink" Target="http://www.neolant.ru" TargetMode="External"/><Relationship Id="rId1" Type="http://schemas.openxmlformats.org/officeDocument/2006/relationships/numbering" Target="numbering.xml"/><Relationship Id="rId6" Type="http://schemas.openxmlformats.org/officeDocument/2006/relationships/hyperlink" Target="http://www.minstroyrf.ru/press/dlya-vklyucheniya-v-reestr-tipovoy-proektnoy-dokumentatsii-peredano-75-proektov-zhilykh-domov/" TargetMode="External"/><Relationship Id="rId11" Type="http://schemas.openxmlformats.org/officeDocument/2006/relationships/hyperlink" Target="http://www.neolant.ru/interbridge/" TargetMode="External"/><Relationship Id="rId5" Type="http://schemas.openxmlformats.org/officeDocument/2006/relationships/image" Target="media/image1.png"/><Relationship Id="rId15" Type="http://schemas.openxmlformats.org/officeDocument/2006/relationships/hyperlink" Target="http://imodel-russia.com/conf2016/" TargetMode="External"/><Relationship Id="rId10" Type="http://schemas.openxmlformats.org/officeDocument/2006/relationships/hyperlink" Target="http://www.neolant.ru/about/team/" TargetMode="External"/><Relationship Id="rId19" Type="http://schemas.openxmlformats.org/officeDocument/2006/relationships/hyperlink" Target="mailto:sorokina@neolant.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eolant.ru/gorizo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Резина Наталья</dc:creator>
  <cp:keywords/>
  <dc:description/>
  <cp:lastModifiedBy>Ассистент</cp:lastModifiedBy>
  <cp:revision>2</cp:revision>
  <cp:lastPrinted>2016-04-07T09:59:00Z</cp:lastPrinted>
  <dcterms:created xsi:type="dcterms:W3CDTF">2016-04-08T13:14:00Z</dcterms:created>
  <dcterms:modified xsi:type="dcterms:W3CDTF">2016-04-08T13:14:00Z</dcterms:modified>
</cp:coreProperties>
</file>