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F71AB4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ПРЕСС-РЕЛИЗ</w:t>
      </w:r>
    </w:p>
    <w:p w14:paraId="331DE278" w14:textId="77777777" w:rsidR="00A80D53" w:rsidRPr="00F71AB4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7720792C" w:rsidR="009C7507" w:rsidRDefault="00CF2140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CF2140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StarForce Reader теперь доступен                            на мобильных устройствах </w:t>
      </w:r>
      <w:proofErr w:type="spellStart"/>
      <w:r w:rsidRPr="00CF2140">
        <w:rPr>
          <w:rFonts w:eastAsia="Times New Roman"/>
          <w:b/>
          <w:bCs/>
          <w:color w:val="auto"/>
          <w:kern w:val="36"/>
          <w:sz w:val="48"/>
          <w:szCs w:val="48"/>
        </w:rPr>
        <w:t>Apple</w:t>
      </w:r>
      <w:proofErr w:type="spellEnd"/>
    </w:p>
    <w:p w14:paraId="0D083E85" w14:textId="77777777" w:rsidR="00303995" w:rsidRDefault="00303995" w:rsidP="009C7507">
      <w:pPr>
        <w:rPr>
          <w:i/>
          <w:color w:val="auto"/>
        </w:rPr>
      </w:pPr>
    </w:p>
    <w:p w14:paraId="19A6DEB4" w14:textId="77777777" w:rsidR="00CF2140" w:rsidRDefault="00CF2140" w:rsidP="009C7507">
      <w:pPr>
        <w:rPr>
          <w:i/>
          <w:color w:val="auto"/>
        </w:rPr>
      </w:pPr>
    </w:p>
    <w:p w14:paraId="35761D1E" w14:textId="6E63C4B7" w:rsidR="00352A9F" w:rsidRPr="009C7507" w:rsidRDefault="00CF2140" w:rsidP="009C7507">
      <w:pPr>
        <w:rPr>
          <w:i/>
          <w:color w:val="auto"/>
        </w:rPr>
      </w:pPr>
      <w:r w:rsidRPr="00CF2140">
        <w:rPr>
          <w:i/>
          <w:color w:val="auto"/>
        </w:rPr>
        <w:t>Компания StarForce расширила линейку приложений для просмотра защищенных док</w:t>
      </w:r>
      <w:r>
        <w:rPr>
          <w:i/>
          <w:color w:val="auto"/>
        </w:rPr>
        <w:t>ументов на различных платформах</w:t>
      </w:r>
      <w:r w:rsidR="00237653" w:rsidRPr="00237653">
        <w:rPr>
          <w:i/>
          <w:color w:val="auto"/>
        </w:rPr>
        <w:t>.</w:t>
      </w:r>
      <w:r w:rsidR="009C7507" w:rsidRPr="009C7507">
        <w:rPr>
          <w:i/>
          <w:color w:val="auto"/>
        </w:rPr>
        <w:t xml:space="preserve"> </w:t>
      </w:r>
    </w:p>
    <w:p w14:paraId="0F47CC63" w14:textId="7EC461E9" w:rsidR="00352A9F" w:rsidRPr="0049641C" w:rsidRDefault="00CF2140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CF2140">
        <w:rPr>
          <w:rFonts w:asciiTheme="minorHAnsi" w:eastAsia="Times New Roman" w:hAnsiTheme="minorHAnsi"/>
          <w:color w:val="auto"/>
          <w:szCs w:val="24"/>
        </w:rPr>
        <w:t xml:space="preserve">Компания StarForce, ведущий российский разработчик решений для защиты цифровой информации от несанкционированного распространения, объявила о релизе StarForce Reader для просмотра защищенных документов на мобильных устройствах с операционной системой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iOS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. Это приложение вышло в дополнение к существующим программам для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Windows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и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Android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>, чтобы предложить клиентам более широкий охват потенциальных поль</w:t>
      </w:r>
      <w:r>
        <w:rPr>
          <w:rFonts w:asciiTheme="minorHAnsi" w:eastAsia="Times New Roman" w:hAnsiTheme="minorHAnsi"/>
          <w:color w:val="auto"/>
          <w:szCs w:val="24"/>
        </w:rPr>
        <w:t>зователей защищенных документов</w:t>
      </w:r>
      <w:r w:rsidR="00237653" w:rsidRPr="00237653">
        <w:rPr>
          <w:rFonts w:asciiTheme="minorHAnsi" w:eastAsia="Times New Roman" w:hAnsiTheme="minorHAnsi"/>
          <w:color w:val="auto"/>
          <w:szCs w:val="24"/>
        </w:rPr>
        <w:t>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7C37990C" w:rsidR="00815B18" w:rsidRDefault="00CF2140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CF2140">
        <w:rPr>
          <w:rFonts w:asciiTheme="minorHAnsi" w:eastAsia="Times New Roman" w:hAnsiTheme="minorHAnsi"/>
          <w:color w:val="auto"/>
          <w:szCs w:val="24"/>
        </w:rPr>
        <w:t>Технологии StarForce используются для защиты документов, распространяемых за пределами компании через интернет. В основном услугами пользуются издатели учебных материалов и корпоративные заказчики, для которых важно сохранить контроль над интеллектуальной собственностью</w:t>
      </w:r>
      <w:r w:rsidR="00ED0472" w:rsidRPr="00ED0472">
        <w:rPr>
          <w:rFonts w:asciiTheme="minorHAnsi" w:eastAsia="Times New Roman" w:hAnsiTheme="minorHAnsi"/>
          <w:color w:val="auto"/>
          <w:szCs w:val="24"/>
        </w:rPr>
        <w:t xml:space="preserve"> и </w:t>
      </w:r>
      <w:r w:rsidR="00ED0472">
        <w:rPr>
          <w:rFonts w:asciiTheme="minorHAnsi" w:eastAsia="Times New Roman" w:hAnsiTheme="minorHAnsi"/>
          <w:color w:val="auto"/>
          <w:szCs w:val="24"/>
        </w:rPr>
        <w:t>конфиденциальной информацией</w:t>
      </w:r>
      <w:bookmarkStart w:id="0" w:name="_GoBack"/>
      <w:bookmarkEnd w:id="0"/>
      <w:r w:rsidRPr="00CF2140">
        <w:rPr>
          <w:rFonts w:asciiTheme="minorHAnsi" w:eastAsia="Times New Roman" w:hAnsiTheme="minorHAnsi"/>
          <w:color w:val="auto"/>
          <w:szCs w:val="24"/>
        </w:rPr>
        <w:t xml:space="preserve">. Технология защиты включает в себя конвертацию файлов в специальный формат, генерацию кода доступа, активацию кода доступа с привязкой к параметрам пользовательского устройства и отслеживание защищенного документа. Защита может быть установлена с помощью двух облачных сервисов: </w:t>
      </w:r>
      <w:hyperlink r:id="rId8" w:history="1">
        <w:r w:rsidRPr="00CF2140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SFContent.com</w:t>
        </w:r>
      </w:hyperlink>
      <w:r w:rsidRPr="00CF2140">
        <w:rPr>
          <w:rFonts w:asciiTheme="minorHAnsi" w:eastAsia="Times New Roman" w:hAnsiTheme="minorHAnsi"/>
          <w:color w:val="auto"/>
          <w:szCs w:val="24"/>
        </w:rPr>
        <w:t xml:space="preserve"> и </w:t>
      </w:r>
      <w:hyperlink r:id="rId9" w:history="1">
        <w:r w:rsidRPr="00CF2140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SFLetter.com</w:t>
        </w:r>
      </w:hyperlink>
      <w:r w:rsidRPr="00CF2140">
        <w:rPr>
          <w:rFonts w:asciiTheme="minorHAnsi" w:eastAsia="Times New Roman" w:hAnsiTheme="minorHAnsi"/>
          <w:color w:val="auto"/>
          <w:szCs w:val="24"/>
        </w:rPr>
        <w:t>. При этом SFLetter.com позволяет отправлят</w:t>
      </w:r>
      <w:r>
        <w:rPr>
          <w:rFonts w:asciiTheme="minorHAnsi" w:eastAsia="Times New Roman" w:hAnsiTheme="minorHAnsi"/>
          <w:color w:val="auto"/>
          <w:szCs w:val="24"/>
        </w:rPr>
        <w:t xml:space="preserve">ь защищенные письма бесплатно. 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3F984DD" w14:textId="3C365407" w:rsidR="00815B18" w:rsidRPr="00815B18" w:rsidRDefault="00CF2140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Reader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для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iOS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доступен всем желающим на App Store также бесплатно. Помимо защищенных документов приложение может отрывать незащищенные файлы в PDF-формате. Узнать подробнее о возможностях StarForce Reader можно в</w:t>
      </w:r>
      <w:r>
        <w:t xml:space="preserve"> </w:t>
      </w:r>
      <w:hyperlink r:id="rId10" w:history="1">
        <w:r w:rsidRPr="00C72E01">
          <w:rPr>
            <w:rStyle w:val="af0"/>
            <w:b/>
            <w:color w:val="0070C0"/>
          </w:rPr>
          <w:t>обзоре</w:t>
        </w:r>
      </w:hyperlink>
      <w:r w:rsidRPr="00CF2140">
        <w:rPr>
          <w:b/>
          <w:color w:val="0070C0"/>
        </w:rPr>
        <w:t>.</w:t>
      </w:r>
      <w:r>
        <w:t xml:space="preserve"> </w:t>
      </w:r>
    </w:p>
    <w:p w14:paraId="10532B51" w14:textId="466B0D78" w:rsidR="00303995" w:rsidRPr="00815B18" w:rsidRDefault="00CF2140" w:rsidP="00CF2140">
      <w:r w:rsidRPr="00CF2140">
        <w:rPr>
          <w:rFonts w:asciiTheme="minorHAnsi" w:eastAsia="Times New Roman" w:hAnsiTheme="minorHAnsi"/>
          <w:color w:val="auto"/>
          <w:szCs w:val="24"/>
        </w:rPr>
        <w:t xml:space="preserve">«Запуск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Reader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для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iOS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является большим событием для нас, так как до этого мы так близко не работали с системами компании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Apple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», - говорит Наталья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Яшенкова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, руководитель отдела маркетинга и PR компании StarForce. – «Опыт был интересным, и мы продолжим развиваться в этом направлении, работая над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просмотрщиком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 xml:space="preserve"> для </w:t>
      </w:r>
      <w:proofErr w:type="spellStart"/>
      <w:r w:rsidRPr="00CF2140">
        <w:rPr>
          <w:rFonts w:asciiTheme="minorHAnsi" w:eastAsia="Times New Roman" w:hAnsiTheme="minorHAnsi"/>
          <w:color w:val="auto"/>
          <w:szCs w:val="24"/>
        </w:rPr>
        <w:t>Mac</w:t>
      </w:r>
      <w:proofErr w:type="spellEnd"/>
      <w:r w:rsidRPr="00CF2140">
        <w:rPr>
          <w:rFonts w:asciiTheme="minorHAnsi" w:eastAsia="Times New Roman" w:hAnsiTheme="minorHAnsi"/>
          <w:color w:val="auto"/>
          <w:szCs w:val="24"/>
        </w:rPr>
        <w:t>».</w:t>
      </w:r>
    </w:p>
    <w:p w14:paraId="356F5040" w14:textId="77777777" w:rsidR="00CF2140" w:rsidRPr="0049641C" w:rsidRDefault="00CF2140" w:rsidP="00CF2140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621408F9" w14:textId="1A6D90B2" w:rsidR="00352A9F" w:rsidRPr="0049641C" w:rsidRDefault="00303995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r w:rsidRPr="0049641C">
        <w:rPr>
          <w:rFonts w:asciiTheme="minorHAnsi" w:eastAsia="Times New Roman" w:hAnsiTheme="minorHAnsi"/>
          <w:b/>
          <w:color w:val="auto"/>
          <w:szCs w:val="24"/>
        </w:rPr>
        <w:t xml:space="preserve">О компании </w:t>
      </w:r>
      <w:r w:rsidRPr="0049641C">
        <w:rPr>
          <w:rFonts w:asciiTheme="minorHAnsi" w:eastAsia="Times New Roman" w:hAnsiTheme="minorHAnsi"/>
          <w:b/>
          <w:color w:val="auto"/>
          <w:szCs w:val="24"/>
          <w:lang w:val="en-US"/>
        </w:rPr>
        <w:t>StarForce</w:t>
      </w:r>
    </w:p>
    <w:p w14:paraId="352C5CE2" w14:textId="1810D8C1" w:rsidR="00352A9F" w:rsidRDefault="00237653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37653">
        <w:rPr>
          <w:rFonts w:asciiTheme="minorHAnsi" w:hAnsiTheme="minorHAnsi" w:cstheme="minorHAnsi"/>
          <w:color w:val="auto"/>
        </w:rPr>
        <w:t xml:space="preserve">Компания StarForce – ведущий российский разработчик программных решений в области контроля и защиты цифровой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</w:t>
      </w:r>
      <w:r w:rsidRPr="00237653">
        <w:rPr>
          <w:rFonts w:asciiTheme="minorHAnsi" w:hAnsiTheme="minorHAnsi" w:cstheme="minorHAnsi"/>
          <w:color w:val="auto"/>
        </w:rPr>
        <w:lastRenderedPageBreak/>
        <w:t>защищенные соответствующими патентами РФ, США и Канады, что позволяет обеспечить охрану интеллектуальной собственности и авторских прав во всем мире.</w:t>
      </w:r>
    </w:p>
    <w:p w14:paraId="0A668271" w14:textId="77777777" w:rsidR="00CF2140" w:rsidRDefault="00CF214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74428BEC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9641C" w:rsidRDefault="00ED0472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hyperlink r:id="rId11" w:history="1">
        <w:r w:rsidR="00352A9F" w:rsidRPr="0049641C">
          <w:rPr>
            <w:rStyle w:val="af0"/>
            <w:rFonts w:asciiTheme="minorHAnsi" w:hAnsiTheme="minorHAnsi" w:cstheme="minorHAnsi"/>
          </w:rPr>
          <w:t>pr@star-force.com</w:t>
        </w:r>
      </w:hyperlink>
    </w:p>
    <w:p w14:paraId="3205E0FD" w14:textId="77777777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2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3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115A" w14:textId="77777777" w:rsidR="00497AAE" w:rsidRDefault="00497AAE" w:rsidP="00F117AE">
      <w:r>
        <w:separator/>
      </w:r>
    </w:p>
  </w:endnote>
  <w:endnote w:type="continuationSeparator" w:id="0">
    <w:p w14:paraId="18EFBFB4" w14:textId="77777777" w:rsidR="00497AAE" w:rsidRDefault="00497AAE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ED0472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ED0472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0817" w14:textId="77777777" w:rsidR="00497AAE" w:rsidRDefault="00497AAE" w:rsidP="00F117AE">
      <w:r>
        <w:separator/>
      </w:r>
    </w:p>
  </w:footnote>
  <w:footnote w:type="continuationSeparator" w:id="0">
    <w:p w14:paraId="1B0B87C1" w14:textId="77777777" w:rsidR="00497AAE" w:rsidRDefault="00497AAE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ED0472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proofErr w:type="spellStart"/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ED0472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D0D5A"/>
    <w:rsid w:val="000E2C97"/>
    <w:rsid w:val="000E33E5"/>
    <w:rsid w:val="000E609E"/>
    <w:rsid w:val="000F0479"/>
    <w:rsid w:val="000F6AC6"/>
    <w:rsid w:val="0010253F"/>
    <w:rsid w:val="00102A33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6EE6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D22ED"/>
    <w:rsid w:val="007D3BA8"/>
    <w:rsid w:val="007D77FE"/>
    <w:rsid w:val="007E5D88"/>
    <w:rsid w:val="007E632C"/>
    <w:rsid w:val="007F39AD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7474"/>
    <w:rsid w:val="00BA1F5D"/>
    <w:rsid w:val="00BA37FB"/>
    <w:rsid w:val="00BA6129"/>
    <w:rsid w:val="00BA6731"/>
    <w:rsid w:val="00BC631A"/>
    <w:rsid w:val="00BD1F55"/>
    <w:rsid w:val="00BD3BA4"/>
    <w:rsid w:val="00C00A6B"/>
    <w:rsid w:val="00C01D68"/>
    <w:rsid w:val="00C02DBF"/>
    <w:rsid w:val="00C04472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ontent.com" TargetMode="External"/><Relationship Id="rId13" Type="http://schemas.openxmlformats.org/officeDocument/2006/relationships/hyperlink" Target="https://www.facebook.com/StarForceCompan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r-forc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star-for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ar-force.ru/promo/starforce-reader-io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fletter.com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DBC8-7B81-431F-A2EA-6C9B3B3E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404</Words>
  <Characters>2356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2739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Павел Коробов</cp:lastModifiedBy>
  <cp:revision>27</cp:revision>
  <cp:lastPrinted>2015-10-06T13:18:00Z</cp:lastPrinted>
  <dcterms:created xsi:type="dcterms:W3CDTF">2015-10-08T14:16:00Z</dcterms:created>
  <dcterms:modified xsi:type="dcterms:W3CDTF">2016-08-08T10:41:00Z</dcterms:modified>
</cp:coreProperties>
</file>