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color w:val="auto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458F7772" w:rsidR="009C7507" w:rsidRPr="005B5056" w:rsidRDefault="00664A1F" w:rsidP="00CF2140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proofErr w:type="spellStart"/>
      <w:r w:rsidRPr="00664A1F">
        <w:rPr>
          <w:rFonts w:eastAsia="Times New Roman"/>
          <w:b/>
          <w:bCs/>
          <w:color w:val="auto"/>
          <w:kern w:val="36"/>
          <w:sz w:val="48"/>
          <w:szCs w:val="48"/>
        </w:rPr>
        <w:t>StarForce</w:t>
      </w:r>
      <w:proofErr w:type="spellEnd"/>
      <w:r w:rsidRPr="00664A1F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открыла 20 000-й проект защиты для </w:t>
      </w:r>
      <w:proofErr w:type="spellStart"/>
      <w:r w:rsidRPr="00664A1F">
        <w:rPr>
          <w:rFonts w:eastAsia="Times New Roman"/>
          <w:b/>
          <w:bCs/>
          <w:color w:val="auto"/>
          <w:kern w:val="36"/>
          <w:sz w:val="48"/>
          <w:szCs w:val="48"/>
        </w:rPr>
        <w:t>Eagle</w:t>
      </w:r>
      <w:proofErr w:type="spellEnd"/>
      <w:r w:rsidRPr="00664A1F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</w:t>
      </w:r>
      <w:proofErr w:type="spellStart"/>
      <w:r w:rsidRPr="00664A1F">
        <w:rPr>
          <w:rFonts w:eastAsia="Times New Roman"/>
          <w:b/>
          <w:bCs/>
          <w:color w:val="auto"/>
          <w:kern w:val="36"/>
          <w:sz w:val="48"/>
          <w:szCs w:val="48"/>
        </w:rPr>
        <w:t>Dynamics</w:t>
      </w:r>
      <w:proofErr w:type="spellEnd"/>
    </w:p>
    <w:p w14:paraId="19A6DEB4" w14:textId="4DE74A4E" w:rsidR="00CF2140" w:rsidRPr="005B5056" w:rsidRDefault="00CF2140" w:rsidP="009C7507">
      <w:pPr>
        <w:rPr>
          <w:i/>
          <w:color w:val="auto"/>
        </w:rPr>
      </w:pPr>
    </w:p>
    <w:p w14:paraId="3D1A7FCF" w14:textId="77777777" w:rsidR="00B944E6" w:rsidRPr="005B5056" w:rsidRDefault="00B944E6" w:rsidP="009C7507">
      <w:pPr>
        <w:rPr>
          <w:i/>
          <w:color w:val="auto"/>
        </w:rPr>
      </w:pPr>
    </w:p>
    <w:p w14:paraId="0F47CC63" w14:textId="7A0334E5" w:rsidR="00352A9F" w:rsidRPr="0049641C" w:rsidRDefault="00664A1F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664A1F">
        <w:rPr>
          <w:rFonts w:asciiTheme="minorHAnsi" w:eastAsia="Times New Roman" w:hAnsiTheme="minorHAnsi"/>
          <w:color w:val="auto"/>
          <w:szCs w:val="24"/>
        </w:rPr>
        <w:t xml:space="preserve">Юбилейный 20 000-й проект в системе защиты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был открыт для дополнения (DLC) к игре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Digital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Combat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Simulator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, симулятору воздушных боевых действий, созданному компанией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Eagle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Dynamics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. Технологии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обеспечивают надежную защиту для игр и DLC-дополнений от незаконного копирования без негативного влияния на производительность и игровой процесс. Это позволяет издателям спокойно использовать систему защиты, а игрокам наслаждаться отличной </w:t>
      </w:r>
      <w:r>
        <w:rPr>
          <w:rFonts w:asciiTheme="minorHAnsi" w:eastAsia="Times New Roman" w:hAnsiTheme="minorHAnsi"/>
          <w:color w:val="auto"/>
          <w:szCs w:val="24"/>
        </w:rPr>
        <w:t>графикой и интересным сюжетом</w:t>
      </w:r>
      <w:r w:rsidR="007F1EF8" w:rsidRPr="007F1EF8">
        <w:rPr>
          <w:rFonts w:asciiTheme="minorHAnsi" w:eastAsia="Times New Roman" w:hAnsiTheme="minorHAnsi"/>
          <w:color w:val="auto"/>
          <w:szCs w:val="24"/>
        </w:rPr>
        <w:t>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18C44275" w14:textId="34A7120A" w:rsidR="00815B18" w:rsidRDefault="00664A1F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664A1F">
        <w:rPr>
          <w:rFonts w:asciiTheme="minorHAnsi" w:eastAsia="Times New Roman" w:hAnsiTheme="minorHAnsi"/>
          <w:color w:val="auto"/>
          <w:szCs w:val="24"/>
        </w:rPr>
        <w:t xml:space="preserve">К игре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Digital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Combat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Simulator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периодически выходят платные дополнения, которые содержат в себе различные наборы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внутриигрового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контента, недоступного в стандартной версии. Одним из таких DLC стало дополнение под названием «DCS WWII: Европа 1944—1945», которое привносит в игру возможность управления летательными аппаратами, которые принимали участие в боевых сражениях во время Второй мировой войны. </w:t>
      </w:r>
      <w:hyperlink r:id="rId8" w:history="1">
        <w:r w:rsidRPr="00664A1F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 xml:space="preserve">Решение компании </w:t>
        </w:r>
        <w:proofErr w:type="spellStart"/>
        <w:r w:rsidRPr="00664A1F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StarForce</w:t>
        </w:r>
        <w:proofErr w:type="spellEnd"/>
      </w:hyperlink>
      <w:r w:rsidRPr="00664A1F">
        <w:rPr>
          <w:rFonts w:asciiTheme="minorHAnsi" w:eastAsia="Times New Roman" w:hAnsiTheme="minorHAnsi"/>
          <w:color w:val="auto"/>
          <w:szCs w:val="24"/>
        </w:rPr>
        <w:t xml:space="preserve"> предназначено обезопасить дополнение «DCS WWII: Европа 1944—1945» от пиратства и копирования среди недобросовестных игроков.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4D5FF5A6" w14:textId="5D754585" w:rsidR="00664A1F" w:rsidRPr="00FB7E94" w:rsidRDefault="00FB7E94" w:rsidP="00E309AF">
      <w:pPr>
        <w:rPr>
          <w:rFonts w:asciiTheme="minorHAnsi" w:eastAsia="Times New Roman" w:hAnsiTheme="minorHAnsi"/>
          <w:color w:val="auto"/>
          <w:szCs w:val="24"/>
        </w:rPr>
      </w:pPr>
      <w:r w:rsidRPr="00FB7E94">
        <w:rPr>
          <w:rFonts w:asciiTheme="minorHAnsi" w:eastAsia="Times New Roman" w:hAnsiTheme="minorHAnsi"/>
          <w:color w:val="auto"/>
          <w:szCs w:val="24"/>
        </w:rPr>
        <w:t xml:space="preserve">Защита DLC для полноценных игр является позитивным моментом для разработчиков и издателей. Решение позволяет произвести защиту любого количества дополнений к уже вышедшим </w:t>
      </w:r>
      <w:proofErr w:type="spellStart"/>
      <w:r w:rsidRPr="00FB7E94">
        <w:rPr>
          <w:rFonts w:asciiTheme="minorHAnsi" w:eastAsia="Times New Roman" w:hAnsiTheme="minorHAnsi"/>
          <w:color w:val="auto"/>
          <w:szCs w:val="24"/>
        </w:rPr>
        <w:t>тайтлам</w:t>
      </w:r>
      <w:proofErr w:type="spellEnd"/>
      <w:r w:rsidRPr="00FB7E94">
        <w:rPr>
          <w:rFonts w:asciiTheme="minorHAnsi" w:eastAsia="Times New Roman" w:hAnsiTheme="minorHAnsi"/>
          <w:color w:val="auto"/>
          <w:szCs w:val="24"/>
        </w:rPr>
        <w:t>, что сущ</w:t>
      </w:r>
      <w:bookmarkStart w:id="0" w:name="_GoBack"/>
      <w:bookmarkEnd w:id="0"/>
      <w:r w:rsidRPr="00FB7E94">
        <w:rPr>
          <w:rFonts w:asciiTheme="minorHAnsi" w:eastAsia="Times New Roman" w:hAnsiTheme="minorHAnsi"/>
          <w:color w:val="auto"/>
          <w:szCs w:val="24"/>
        </w:rPr>
        <w:t>ественно сокращает расходы разработчиков и издателей по внедрению антипиратской защиты.</w:t>
      </w:r>
    </w:p>
    <w:p w14:paraId="76F8F699" w14:textId="77777777" w:rsidR="00FB7E94" w:rsidRDefault="00FB7E94" w:rsidP="00E309AF">
      <w:pPr>
        <w:rPr>
          <w:rFonts w:asciiTheme="minorHAnsi" w:eastAsia="Times New Roman" w:hAnsiTheme="minorHAnsi"/>
          <w:color w:val="auto"/>
          <w:szCs w:val="24"/>
        </w:rPr>
      </w:pPr>
    </w:p>
    <w:p w14:paraId="3FF1E6A6" w14:textId="57DE6C1C" w:rsidR="00664A1F" w:rsidRPr="00664A1F" w:rsidRDefault="00664A1F" w:rsidP="00664A1F">
      <w:pPr>
        <w:rPr>
          <w:rFonts w:asciiTheme="minorHAnsi" w:eastAsia="Times New Roman" w:hAnsiTheme="minorHAnsi"/>
          <w:color w:val="auto"/>
          <w:szCs w:val="24"/>
        </w:rPr>
      </w:pPr>
      <w:r w:rsidRPr="00664A1F">
        <w:rPr>
          <w:rFonts w:asciiTheme="minorHAnsi" w:eastAsia="Times New Roman" w:hAnsiTheme="minorHAnsi"/>
          <w:color w:val="auto"/>
          <w:szCs w:val="24"/>
        </w:rPr>
        <w:t xml:space="preserve">Студия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Eagle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664A1F">
        <w:rPr>
          <w:rFonts w:asciiTheme="minorHAnsi" w:eastAsia="Times New Roman" w:hAnsiTheme="minorHAnsi"/>
          <w:color w:val="auto"/>
          <w:szCs w:val="24"/>
        </w:rPr>
        <w:t>Dynamics</w:t>
      </w:r>
      <w:proofErr w:type="spellEnd"/>
      <w:r w:rsidRPr="00664A1F">
        <w:rPr>
          <w:rFonts w:asciiTheme="minorHAnsi" w:eastAsia="Times New Roman" w:hAnsiTheme="minorHAnsi"/>
          <w:color w:val="auto"/>
          <w:szCs w:val="24"/>
        </w:rPr>
        <w:t xml:space="preserve"> </w:t>
      </w:r>
      <w:hyperlink r:id="rId9" w:history="1">
        <w:r w:rsidRPr="00664A1F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 xml:space="preserve">сотрудничает с </w:t>
        </w:r>
        <w:proofErr w:type="spellStart"/>
        <w:r w:rsidRPr="00664A1F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StarForce</w:t>
        </w:r>
        <w:proofErr w:type="spellEnd"/>
      </w:hyperlink>
      <w:r w:rsidRPr="00664A1F">
        <w:rPr>
          <w:rFonts w:asciiTheme="minorHAnsi" w:eastAsia="Times New Roman" w:hAnsiTheme="minorHAnsi"/>
          <w:color w:val="auto"/>
          <w:szCs w:val="24"/>
        </w:rPr>
        <w:t xml:space="preserve"> уже много лет, впервые использовав защиту для симулятора боевого вертолета КА-50 «Черная Акула».</w:t>
      </w:r>
    </w:p>
    <w:p w14:paraId="0B18EA4B" w14:textId="77777777" w:rsidR="00E309AF" w:rsidRDefault="00E309AF" w:rsidP="00E309AF">
      <w:pPr>
        <w:rPr>
          <w:rFonts w:asciiTheme="minorHAnsi" w:eastAsia="Times New Roman" w:hAnsiTheme="minorHAnsi"/>
          <w:b/>
          <w:color w:val="auto"/>
          <w:szCs w:val="24"/>
        </w:rPr>
      </w:pPr>
    </w:p>
    <w:p w14:paraId="21A68C49" w14:textId="179C0FEC" w:rsidR="007F1EF8" w:rsidRPr="00664A1F" w:rsidRDefault="007F1EF8" w:rsidP="007F1EF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bookmarkStart w:id="1" w:name="OLE_LINK11"/>
      <w:bookmarkStart w:id="2" w:name="OLE_LINK12"/>
      <w:r w:rsidRPr="007F1EF8">
        <w:rPr>
          <w:rFonts w:asciiTheme="minorHAnsi" w:eastAsia="Times New Roman" w:hAnsiTheme="minorHAnsi"/>
          <w:b/>
          <w:color w:val="auto"/>
          <w:szCs w:val="24"/>
        </w:rPr>
        <w:t>О</w:t>
      </w:r>
      <w:r w:rsidRPr="00664A1F">
        <w:rPr>
          <w:rFonts w:asciiTheme="minorHAnsi" w:eastAsia="Times New Roman" w:hAnsiTheme="minorHAnsi"/>
          <w:b/>
          <w:color w:val="auto"/>
          <w:szCs w:val="24"/>
        </w:rPr>
        <w:t xml:space="preserve"> </w:t>
      </w:r>
      <w:r w:rsidRPr="007F1EF8">
        <w:rPr>
          <w:rFonts w:asciiTheme="minorHAnsi" w:eastAsia="Times New Roman" w:hAnsiTheme="minorHAnsi"/>
          <w:b/>
          <w:color w:val="auto"/>
          <w:szCs w:val="24"/>
        </w:rPr>
        <w:t>компании</w:t>
      </w:r>
      <w:r w:rsidRPr="00664A1F">
        <w:rPr>
          <w:rFonts w:asciiTheme="minorHAnsi" w:eastAsia="Times New Roman" w:hAnsiTheme="minorHAnsi"/>
          <w:b/>
          <w:color w:val="auto"/>
          <w:szCs w:val="24"/>
        </w:rPr>
        <w:t xml:space="preserve"> </w:t>
      </w:r>
      <w:r w:rsidR="00664A1F">
        <w:rPr>
          <w:rFonts w:asciiTheme="minorHAnsi" w:eastAsia="Times New Roman" w:hAnsiTheme="minorHAnsi"/>
          <w:b/>
          <w:color w:val="auto"/>
          <w:szCs w:val="24"/>
          <w:lang w:val="en-US"/>
        </w:rPr>
        <w:t>Eagle</w:t>
      </w:r>
      <w:r w:rsidR="00664A1F" w:rsidRPr="00664A1F">
        <w:rPr>
          <w:rFonts w:asciiTheme="minorHAnsi" w:eastAsia="Times New Roman" w:hAnsiTheme="minorHAnsi"/>
          <w:b/>
          <w:color w:val="auto"/>
          <w:szCs w:val="24"/>
        </w:rPr>
        <w:t xml:space="preserve"> </w:t>
      </w:r>
      <w:r w:rsidR="00664A1F">
        <w:rPr>
          <w:rFonts w:asciiTheme="minorHAnsi" w:eastAsia="Times New Roman" w:hAnsiTheme="minorHAnsi"/>
          <w:b/>
          <w:color w:val="auto"/>
          <w:szCs w:val="24"/>
          <w:lang w:val="en-US"/>
        </w:rPr>
        <w:t>Dynamics</w:t>
      </w:r>
    </w:p>
    <w:p w14:paraId="0D609DAC" w14:textId="7A3DE529" w:rsidR="007F1EF8" w:rsidRDefault="00664A1F" w:rsidP="007F1EF8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Eagle</w:t>
      </w:r>
      <w:r w:rsidRPr="00664A1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>Dynamics</w:t>
      </w:r>
      <w:r w:rsidR="007F1EF8" w:rsidRPr="007F1EF8">
        <w:rPr>
          <w:rFonts w:asciiTheme="minorHAnsi" w:hAnsiTheme="minorHAnsi" w:cstheme="minorHAnsi"/>
          <w:color w:val="auto"/>
        </w:rPr>
        <w:t xml:space="preserve"> (</w:t>
      </w:r>
      <w:hyperlink r:id="rId10" w:history="1">
        <w:r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www.digitalcombatsimulator.com</w:t>
        </w:r>
      </w:hyperlink>
      <w:r w:rsidR="007F1EF8" w:rsidRPr="007F1EF8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 xml:space="preserve"> -</w:t>
      </w:r>
      <w:r w:rsidR="007F1EF8" w:rsidRPr="007F1EF8">
        <w:rPr>
          <w:rFonts w:asciiTheme="minorHAnsi" w:hAnsiTheme="minorHAnsi" w:cstheme="minorHAnsi"/>
          <w:color w:val="auto"/>
        </w:rPr>
        <w:t xml:space="preserve"> </w:t>
      </w:r>
      <w:r w:rsidRPr="00664A1F">
        <w:rPr>
          <w:rFonts w:asciiTheme="minorHAnsi" w:hAnsiTheme="minorHAnsi" w:cstheme="minorHAnsi"/>
          <w:color w:val="auto"/>
        </w:rPr>
        <w:t>производитель программного обеспечения. Основные разработки в области авиационных симуляторов</w:t>
      </w:r>
      <w:r w:rsidR="007F1EF8" w:rsidRPr="00237653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  <w:r w:rsidRPr="00664A1F">
        <w:rPr>
          <w:rFonts w:asciiTheme="minorHAnsi" w:hAnsiTheme="minorHAnsi" w:cstheme="minorHAnsi"/>
          <w:color w:val="auto"/>
        </w:rPr>
        <w:t xml:space="preserve">Компания была основана в 1991 году в Москве под первоначальным названием </w:t>
      </w:r>
      <w:proofErr w:type="spellStart"/>
      <w:r w:rsidRPr="00664A1F">
        <w:rPr>
          <w:rFonts w:asciiTheme="minorHAnsi" w:hAnsiTheme="minorHAnsi" w:cstheme="minorHAnsi"/>
          <w:color w:val="auto"/>
        </w:rPr>
        <w:t>Flying</w:t>
      </w:r>
      <w:proofErr w:type="spellEnd"/>
      <w:r w:rsidRPr="00664A1F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664A1F">
        <w:rPr>
          <w:rFonts w:asciiTheme="minorHAnsi" w:hAnsiTheme="minorHAnsi" w:cstheme="minorHAnsi"/>
          <w:color w:val="auto"/>
        </w:rPr>
        <w:t>Legends</w:t>
      </w:r>
      <w:proofErr w:type="spellEnd"/>
      <w:r w:rsidRPr="00664A1F">
        <w:rPr>
          <w:rFonts w:asciiTheme="minorHAnsi" w:hAnsiTheme="minorHAnsi" w:cstheme="minorHAnsi"/>
          <w:color w:val="auto"/>
        </w:rPr>
        <w:t xml:space="preserve"> («Летающие легенды»). Первый проект компании — компьютерная игра, авиационный симулятор «Су-27 Фланкер» — получил положительные отзывы прессы и игроков, что способствовало появлению последователей — таких симуляторов, как «Су-27 Фланкер 2.0» и «Су-27 Фланкер 2.5». При разработке создателей игры консультировали специалисты ОКБ «Сухой» — компании-производителя самолета Су-27.</w:t>
      </w:r>
    </w:p>
    <w:p w14:paraId="2ECECBBB" w14:textId="77777777" w:rsidR="007F1EF8" w:rsidRDefault="007F1EF8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</w:p>
    <w:p w14:paraId="621408F9" w14:textId="2E42DE79" w:rsidR="00352A9F" w:rsidRPr="0049641C" w:rsidRDefault="007F1EF8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r w:rsidRPr="007F1EF8">
        <w:rPr>
          <w:rFonts w:asciiTheme="minorHAnsi" w:eastAsia="Times New Roman" w:hAnsiTheme="minorHAnsi"/>
          <w:b/>
          <w:color w:val="auto"/>
          <w:szCs w:val="24"/>
        </w:rPr>
        <w:t>О компании «</w:t>
      </w:r>
      <w:proofErr w:type="spellStart"/>
      <w:r w:rsidRPr="007F1EF8">
        <w:rPr>
          <w:rFonts w:asciiTheme="minorHAnsi" w:eastAsia="Times New Roman" w:hAnsiTheme="minorHAnsi"/>
          <w:b/>
          <w:color w:val="auto"/>
          <w:szCs w:val="24"/>
        </w:rPr>
        <w:t>Протекшен</w:t>
      </w:r>
      <w:proofErr w:type="spellEnd"/>
      <w:r w:rsidRPr="007F1EF8">
        <w:rPr>
          <w:rFonts w:asciiTheme="minorHAnsi" w:eastAsia="Times New Roman" w:hAnsiTheme="minorHAnsi"/>
          <w:b/>
          <w:color w:val="auto"/>
          <w:szCs w:val="24"/>
        </w:rPr>
        <w:t xml:space="preserve"> Технолоджи»</w:t>
      </w:r>
    </w:p>
    <w:p w14:paraId="352C5CE2" w14:textId="44141948" w:rsidR="00352A9F" w:rsidRDefault="007F1EF8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7F1EF8">
        <w:rPr>
          <w:rFonts w:asciiTheme="minorHAnsi" w:hAnsiTheme="minorHAnsi" w:cstheme="minorHAnsi"/>
          <w:color w:val="auto"/>
        </w:rPr>
        <w:t>Компания «</w:t>
      </w:r>
      <w:proofErr w:type="spellStart"/>
      <w:r w:rsidRPr="007F1EF8">
        <w:rPr>
          <w:rFonts w:asciiTheme="minorHAnsi" w:hAnsiTheme="minorHAnsi" w:cstheme="minorHAnsi"/>
          <w:color w:val="auto"/>
        </w:rPr>
        <w:t>Протекшен</w:t>
      </w:r>
      <w:proofErr w:type="spellEnd"/>
      <w:r w:rsidRPr="007F1EF8">
        <w:rPr>
          <w:rFonts w:asciiTheme="minorHAnsi" w:hAnsiTheme="minorHAnsi" w:cstheme="minorHAnsi"/>
          <w:color w:val="auto"/>
        </w:rPr>
        <w:t xml:space="preserve"> Технолоджи» (</w:t>
      </w:r>
      <w:bookmarkStart w:id="3" w:name="OLE_LINK21"/>
      <w:bookmarkStart w:id="4" w:name="OLE_LINK22"/>
      <w:r w:rsidRPr="007F1EF8">
        <w:rPr>
          <w:rFonts w:asciiTheme="minorHAnsi" w:hAnsiTheme="minorHAnsi" w:cstheme="minorHAnsi"/>
          <w:b/>
          <w:color w:val="0070C0"/>
        </w:rPr>
        <w:fldChar w:fldCharType="begin"/>
      </w:r>
      <w:r w:rsidRPr="007F1EF8">
        <w:rPr>
          <w:rFonts w:asciiTheme="minorHAnsi" w:hAnsiTheme="minorHAnsi" w:cstheme="minorHAnsi"/>
          <w:b/>
          <w:color w:val="0070C0"/>
        </w:rPr>
        <w:instrText>HYPERLINK "http://www.star-force.ru/"</w:instrText>
      </w:r>
      <w:r w:rsidRPr="007F1EF8">
        <w:rPr>
          <w:rFonts w:asciiTheme="minorHAnsi" w:hAnsiTheme="minorHAnsi" w:cstheme="minorHAnsi"/>
          <w:b/>
          <w:color w:val="0070C0"/>
        </w:rPr>
        <w:fldChar w:fldCharType="separate"/>
      </w:r>
      <w:r w:rsidRPr="007F1EF8">
        <w:rPr>
          <w:rStyle w:val="af0"/>
          <w:rFonts w:asciiTheme="minorHAnsi" w:hAnsiTheme="minorHAnsi" w:cstheme="minorHAnsi"/>
          <w:b/>
          <w:color w:val="0070C0"/>
          <w:u w:val="none"/>
        </w:rPr>
        <w:t>www.star-force.ru</w:t>
      </w:r>
      <w:r w:rsidRPr="007F1EF8">
        <w:rPr>
          <w:rFonts w:asciiTheme="minorHAnsi" w:hAnsiTheme="minorHAnsi" w:cstheme="minorHAnsi"/>
          <w:b/>
          <w:color w:val="0070C0"/>
        </w:rPr>
        <w:fldChar w:fldCharType="end"/>
      </w:r>
      <w:bookmarkEnd w:id="3"/>
      <w:bookmarkEnd w:id="4"/>
      <w:r w:rsidRPr="007F1EF8">
        <w:rPr>
          <w:rFonts w:asciiTheme="minorHAnsi" w:hAnsiTheme="minorHAnsi" w:cstheme="minorHAnsi"/>
          <w:color w:val="auto"/>
        </w:rPr>
        <w:t xml:space="preserve">), известная на рынке ИБ под торговой маркой StarForce, является экспертом в области защиты цифровой информации от взлома и несанкционированного распространения. Компания с 2000-го года предоставляет комплексный технологический сервис защиты коммерческим, финансовым и государственным организациям. C 2015 года компания поставляет интегрированные решения с использованием продуктов компании </w:t>
      </w:r>
      <w:proofErr w:type="spellStart"/>
      <w:r w:rsidRPr="007F1EF8">
        <w:rPr>
          <w:rFonts w:asciiTheme="minorHAnsi" w:hAnsiTheme="minorHAnsi" w:cstheme="minorHAnsi"/>
          <w:color w:val="auto"/>
        </w:rPr>
        <w:t>Safe`n`Sec</w:t>
      </w:r>
      <w:proofErr w:type="spellEnd"/>
      <w:r w:rsidRPr="007F1EF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7F1EF8">
        <w:rPr>
          <w:rFonts w:asciiTheme="minorHAnsi" w:hAnsiTheme="minorHAnsi" w:cstheme="minorHAnsi"/>
          <w:color w:val="auto"/>
        </w:rPr>
        <w:t>Corporation</w:t>
      </w:r>
      <w:proofErr w:type="spellEnd"/>
      <w:r w:rsidRPr="007F1EF8">
        <w:rPr>
          <w:rFonts w:asciiTheme="minorHAnsi" w:hAnsiTheme="minorHAnsi" w:cstheme="minorHAnsi"/>
          <w:color w:val="auto"/>
        </w:rPr>
        <w:t>.</w:t>
      </w:r>
    </w:p>
    <w:bookmarkEnd w:id="1"/>
    <w:bookmarkEnd w:id="2"/>
    <w:p w14:paraId="0A668271" w14:textId="77777777" w:rsidR="00CF2140" w:rsidRDefault="00CF2140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14:paraId="01F40D77" w14:textId="74428BEC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024F6" w:rsidRDefault="00AF25D7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11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77777777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2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3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Facebook</w:t>
        </w:r>
      </w:hyperlink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8935C" w14:textId="77777777" w:rsidR="00AF25D7" w:rsidRDefault="00AF25D7" w:rsidP="00F117AE">
      <w:r>
        <w:separator/>
      </w:r>
    </w:p>
  </w:endnote>
  <w:endnote w:type="continuationSeparator" w:id="0">
    <w:p w14:paraId="280EA554" w14:textId="77777777" w:rsidR="00AF25D7" w:rsidRDefault="00AF25D7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AF25D7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AF25D7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D5922" w14:textId="77777777" w:rsidR="00AF25D7" w:rsidRDefault="00AF25D7" w:rsidP="00F117AE">
      <w:r>
        <w:separator/>
      </w:r>
    </w:p>
  </w:footnote>
  <w:footnote w:type="continuationSeparator" w:id="0">
    <w:p w14:paraId="02B1D88B" w14:textId="77777777" w:rsidR="00AF25D7" w:rsidRDefault="00AF25D7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AF25D7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</w:t>
                          </w:r>
                          <w:proofErr w:type="spellStart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Протекшен</w:t>
                          </w:r>
                          <w:proofErr w:type="spellEnd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</w:t>
                    </w:r>
                    <w:proofErr w:type="spellStart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Протекшен</w:t>
                    </w:r>
                    <w:proofErr w:type="spellEnd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AF25D7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058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4626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64A1F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C5336"/>
    <w:rsid w:val="007D22ED"/>
    <w:rsid w:val="007D3BA8"/>
    <w:rsid w:val="007D77FE"/>
    <w:rsid w:val="007E5D88"/>
    <w:rsid w:val="007E632C"/>
    <w:rsid w:val="007F1EF8"/>
    <w:rsid w:val="007F39AD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25D7"/>
    <w:rsid w:val="00AF7C03"/>
    <w:rsid w:val="00B02E9E"/>
    <w:rsid w:val="00B056CD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A1F5D"/>
    <w:rsid w:val="00BA37FB"/>
    <w:rsid w:val="00BA6129"/>
    <w:rsid w:val="00BA6731"/>
    <w:rsid w:val="00BC631A"/>
    <w:rsid w:val="00BD1F55"/>
    <w:rsid w:val="00BD3BA4"/>
    <w:rsid w:val="00C00A6B"/>
    <w:rsid w:val="00C01D68"/>
    <w:rsid w:val="00C02DBF"/>
    <w:rsid w:val="00C04472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6307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B7E94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/products/starforce-proactive/" TargetMode="External"/><Relationship Id="rId13" Type="http://schemas.openxmlformats.org/officeDocument/2006/relationships/hyperlink" Target="https://www.facebook.com/StarForceCompan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ar-forc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star-forc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igitalcombatsimulator.com/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ar-force.ru/about/testimonials/index.php?testimonials=2631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C4F98-CFCE-404B-B27A-991D089F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3198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Павел Коробов</cp:lastModifiedBy>
  <cp:revision>41</cp:revision>
  <cp:lastPrinted>2015-10-06T13:18:00Z</cp:lastPrinted>
  <dcterms:created xsi:type="dcterms:W3CDTF">2015-10-08T14:16:00Z</dcterms:created>
  <dcterms:modified xsi:type="dcterms:W3CDTF">2017-02-10T09:40:00Z</dcterms:modified>
</cp:coreProperties>
</file>